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28B62" w14:textId="47DCEEAA" w:rsidR="00F46FD6" w:rsidRPr="004B72DA" w:rsidRDefault="00F46FD6" w:rsidP="00F46FD6">
      <w:pPr>
        <w:pStyle w:val="NoSpacing"/>
        <w:rPr>
          <w:b/>
          <w:sz w:val="36"/>
          <w:szCs w:val="36"/>
        </w:rPr>
      </w:pPr>
    </w:p>
    <w:p w14:paraId="0ECA2B36" w14:textId="77777777" w:rsidR="00F46FD6" w:rsidRPr="004B72DA" w:rsidRDefault="00F46FD6" w:rsidP="00F46FD6">
      <w:pPr>
        <w:pStyle w:val="NoSpacing"/>
        <w:rPr>
          <w:b/>
          <w:sz w:val="36"/>
          <w:szCs w:val="36"/>
        </w:rPr>
      </w:pPr>
    </w:p>
    <w:p w14:paraId="7CE86CC9" w14:textId="77777777" w:rsidR="00F46FD6" w:rsidRPr="004B72DA" w:rsidRDefault="00F46FD6" w:rsidP="00F46FD6">
      <w:pPr>
        <w:pStyle w:val="NoSpacing"/>
        <w:rPr>
          <w:b/>
          <w:sz w:val="36"/>
          <w:szCs w:val="36"/>
        </w:rPr>
      </w:pPr>
    </w:p>
    <w:p w14:paraId="7BA267BB" w14:textId="77777777" w:rsidR="00F46FD6" w:rsidRPr="004B72DA" w:rsidRDefault="00F46FD6" w:rsidP="00F46FD6">
      <w:pPr>
        <w:pStyle w:val="NoSpacing"/>
        <w:rPr>
          <w:b/>
          <w:sz w:val="36"/>
          <w:szCs w:val="36"/>
        </w:rPr>
      </w:pPr>
    </w:p>
    <w:p w14:paraId="207275EF" w14:textId="77777777" w:rsidR="00F46FD6" w:rsidRPr="004B72DA" w:rsidRDefault="00F46FD6" w:rsidP="00F46FD6">
      <w:pPr>
        <w:pStyle w:val="NoSpacing"/>
        <w:rPr>
          <w:b/>
          <w:sz w:val="36"/>
          <w:szCs w:val="36"/>
        </w:rPr>
      </w:pPr>
    </w:p>
    <w:p w14:paraId="6223152F" w14:textId="77777777" w:rsidR="00F46FD6" w:rsidRPr="004B72DA" w:rsidRDefault="00F46FD6" w:rsidP="00F46FD6">
      <w:pPr>
        <w:pStyle w:val="NoSpacing"/>
        <w:rPr>
          <w:b/>
          <w:sz w:val="36"/>
          <w:szCs w:val="36"/>
        </w:rPr>
      </w:pPr>
    </w:p>
    <w:p w14:paraId="76F09139" w14:textId="77777777" w:rsidR="00F46FD6" w:rsidRPr="004B72DA" w:rsidRDefault="00F46FD6" w:rsidP="00F46FD6">
      <w:pPr>
        <w:pStyle w:val="NoSpacing"/>
        <w:rPr>
          <w:b/>
          <w:sz w:val="36"/>
          <w:szCs w:val="36"/>
        </w:rPr>
      </w:pPr>
    </w:p>
    <w:p w14:paraId="06004028" w14:textId="77777777" w:rsidR="00F46FD6" w:rsidRDefault="00F46FD6" w:rsidP="00F46FD6">
      <w:pPr>
        <w:pStyle w:val="NoSpacing"/>
        <w:rPr>
          <w:b/>
          <w:sz w:val="36"/>
          <w:szCs w:val="36"/>
        </w:rPr>
      </w:pPr>
      <w:r>
        <w:rPr>
          <w:b/>
          <w:sz w:val="36"/>
          <w:szCs w:val="36"/>
        </w:rPr>
        <w:t>Request for Information (RFI)</w:t>
      </w:r>
    </w:p>
    <w:p w14:paraId="52A9E92A" w14:textId="77777777" w:rsidR="00F46FD6" w:rsidRDefault="00F46FD6" w:rsidP="00F46FD6">
      <w:pPr>
        <w:pStyle w:val="NoSpacing"/>
        <w:rPr>
          <w:b/>
          <w:sz w:val="36"/>
          <w:szCs w:val="36"/>
        </w:rPr>
      </w:pPr>
    </w:p>
    <w:p w14:paraId="5B62D7A8" w14:textId="77777777" w:rsidR="00F46FD6" w:rsidRDefault="00F46FD6" w:rsidP="00F46FD6">
      <w:pPr>
        <w:pStyle w:val="NoSpacing"/>
        <w:rPr>
          <w:b/>
          <w:sz w:val="36"/>
          <w:szCs w:val="36"/>
        </w:rPr>
      </w:pPr>
      <w:r>
        <w:rPr>
          <w:b/>
          <w:sz w:val="36"/>
          <w:szCs w:val="36"/>
        </w:rPr>
        <w:t xml:space="preserve">Outline concept for development of </w:t>
      </w:r>
      <w:r w:rsidR="00A234B2">
        <w:rPr>
          <w:b/>
          <w:sz w:val="36"/>
          <w:szCs w:val="36"/>
        </w:rPr>
        <w:t xml:space="preserve">Greek 5G corridors along the Greek territory </w:t>
      </w:r>
      <w:r w:rsidR="00A234B2" w:rsidRPr="00A234B2">
        <w:rPr>
          <w:b/>
          <w:sz w:val="36"/>
          <w:szCs w:val="36"/>
        </w:rPr>
        <w:t>that will serve the needs for Connected and Autonomous Mobility</w:t>
      </w:r>
    </w:p>
    <w:p w14:paraId="79F83B58" w14:textId="77777777" w:rsidR="00F46FD6" w:rsidRDefault="00F46FD6" w:rsidP="00F46FD6">
      <w:pPr>
        <w:pStyle w:val="NoSpacing"/>
        <w:rPr>
          <w:b/>
          <w:sz w:val="36"/>
          <w:szCs w:val="36"/>
        </w:rPr>
      </w:pPr>
    </w:p>
    <w:p w14:paraId="43098DB7" w14:textId="77777777" w:rsidR="00F46FD6" w:rsidRDefault="00F46FD6" w:rsidP="00F46FD6">
      <w:pPr>
        <w:pStyle w:val="NoSpacing"/>
        <w:rPr>
          <w:b/>
          <w:sz w:val="36"/>
          <w:szCs w:val="36"/>
        </w:rPr>
      </w:pPr>
    </w:p>
    <w:p w14:paraId="608E6AF0" w14:textId="77777777" w:rsidR="00F46FD6" w:rsidRDefault="00F46FD6" w:rsidP="00F46FD6">
      <w:pPr>
        <w:pStyle w:val="NoSpacing"/>
        <w:rPr>
          <w:b/>
          <w:sz w:val="36"/>
          <w:szCs w:val="36"/>
        </w:rPr>
      </w:pPr>
    </w:p>
    <w:p w14:paraId="52A961A3" w14:textId="77777777" w:rsidR="00F46FD6" w:rsidRDefault="00F46FD6" w:rsidP="00F46FD6">
      <w:pPr>
        <w:pStyle w:val="NoSpacing"/>
        <w:rPr>
          <w:b/>
          <w:sz w:val="36"/>
          <w:szCs w:val="36"/>
        </w:rPr>
      </w:pPr>
    </w:p>
    <w:p w14:paraId="47138BFF" w14:textId="77777777" w:rsidR="00F46FD6" w:rsidRDefault="00F46FD6" w:rsidP="00F46FD6">
      <w:pPr>
        <w:pStyle w:val="NoSpacing"/>
        <w:rPr>
          <w:b/>
          <w:sz w:val="36"/>
          <w:szCs w:val="36"/>
        </w:rPr>
      </w:pPr>
    </w:p>
    <w:p w14:paraId="53EE910C" w14:textId="77777777" w:rsidR="00F46FD6" w:rsidRDefault="00F46FD6" w:rsidP="00F46FD6">
      <w:pPr>
        <w:pStyle w:val="NoSpacing"/>
        <w:rPr>
          <w:b/>
          <w:sz w:val="36"/>
          <w:szCs w:val="36"/>
        </w:rPr>
      </w:pPr>
    </w:p>
    <w:p w14:paraId="023F6A48" w14:textId="77777777" w:rsidR="00F46FD6" w:rsidRDefault="00F46FD6" w:rsidP="00F46FD6">
      <w:pPr>
        <w:pStyle w:val="NoSpacing"/>
        <w:rPr>
          <w:b/>
          <w:sz w:val="36"/>
          <w:szCs w:val="36"/>
        </w:rPr>
      </w:pPr>
    </w:p>
    <w:p w14:paraId="55DCF55E" w14:textId="77777777" w:rsidR="00F46FD6" w:rsidRDefault="00F46FD6" w:rsidP="00F46FD6">
      <w:pPr>
        <w:pStyle w:val="NoSpacing"/>
        <w:rPr>
          <w:b/>
          <w:sz w:val="36"/>
          <w:szCs w:val="36"/>
        </w:rPr>
      </w:pPr>
    </w:p>
    <w:p w14:paraId="18BDED3F" w14:textId="77777777" w:rsidR="00F46FD6" w:rsidRDefault="00F46FD6" w:rsidP="00F46FD6">
      <w:pPr>
        <w:pStyle w:val="NoSpacing"/>
        <w:rPr>
          <w:b/>
          <w:sz w:val="36"/>
          <w:szCs w:val="36"/>
        </w:rPr>
      </w:pPr>
    </w:p>
    <w:p w14:paraId="4943490D" w14:textId="77777777" w:rsidR="00F46FD6" w:rsidRDefault="00F46FD6" w:rsidP="00F46FD6">
      <w:pPr>
        <w:pStyle w:val="NoSpacing"/>
        <w:rPr>
          <w:b/>
          <w:sz w:val="36"/>
          <w:szCs w:val="36"/>
        </w:rPr>
      </w:pPr>
    </w:p>
    <w:p w14:paraId="35565648" w14:textId="77777777" w:rsidR="00F46FD6" w:rsidRDefault="00F46FD6" w:rsidP="00F46FD6">
      <w:pPr>
        <w:pStyle w:val="NoSpacing"/>
        <w:rPr>
          <w:b/>
          <w:sz w:val="36"/>
          <w:szCs w:val="36"/>
        </w:rPr>
      </w:pPr>
    </w:p>
    <w:p w14:paraId="4C38EAD6" w14:textId="77777777" w:rsidR="00F46FD6" w:rsidRDefault="00F46FD6" w:rsidP="00F46FD6">
      <w:pPr>
        <w:pStyle w:val="NoSpacing"/>
        <w:rPr>
          <w:b/>
          <w:sz w:val="36"/>
          <w:szCs w:val="36"/>
        </w:rPr>
      </w:pPr>
    </w:p>
    <w:p w14:paraId="3E95F60C" w14:textId="77777777" w:rsidR="00F46FD6" w:rsidRDefault="00F46FD6" w:rsidP="00F46FD6">
      <w:pPr>
        <w:pStyle w:val="NoSpacing"/>
        <w:rPr>
          <w:b/>
          <w:sz w:val="36"/>
          <w:szCs w:val="36"/>
        </w:rPr>
      </w:pPr>
    </w:p>
    <w:p w14:paraId="1A0D1031" w14:textId="77777777" w:rsidR="00F46FD6" w:rsidRPr="004B72DA" w:rsidRDefault="00F46FD6" w:rsidP="00F46FD6">
      <w:pPr>
        <w:pStyle w:val="NoSpacing"/>
        <w:rPr>
          <w:szCs w:val="36"/>
        </w:rPr>
      </w:pPr>
      <w:r w:rsidRPr="004B72DA">
        <w:rPr>
          <w:szCs w:val="36"/>
        </w:rPr>
        <w:t>Reference</w:t>
      </w:r>
      <w:r w:rsidRPr="004B72DA">
        <w:rPr>
          <w:szCs w:val="36"/>
        </w:rPr>
        <w:tab/>
      </w:r>
      <w:r>
        <w:rPr>
          <w:szCs w:val="36"/>
        </w:rPr>
        <w:t>TBD</w:t>
      </w:r>
    </w:p>
    <w:p w14:paraId="0232D583" w14:textId="77777777" w:rsidR="00F46FD6" w:rsidRPr="004B72DA" w:rsidRDefault="00F46FD6" w:rsidP="00F46FD6">
      <w:pPr>
        <w:pStyle w:val="NoSpacing"/>
        <w:rPr>
          <w:szCs w:val="36"/>
        </w:rPr>
      </w:pPr>
      <w:r w:rsidRPr="004B72DA">
        <w:rPr>
          <w:szCs w:val="36"/>
        </w:rPr>
        <w:t>Issue/Revision</w:t>
      </w:r>
      <w:r w:rsidRPr="004B72DA">
        <w:rPr>
          <w:szCs w:val="36"/>
        </w:rPr>
        <w:tab/>
      </w:r>
      <w:r>
        <w:rPr>
          <w:szCs w:val="36"/>
        </w:rPr>
        <w:t xml:space="preserve">DRAFT </w:t>
      </w:r>
      <w:r w:rsidR="00A234B2">
        <w:rPr>
          <w:szCs w:val="36"/>
        </w:rPr>
        <w:t>1</w:t>
      </w:r>
      <w:r w:rsidRPr="004B72DA">
        <w:rPr>
          <w:szCs w:val="36"/>
        </w:rPr>
        <w:t>.0</w:t>
      </w:r>
    </w:p>
    <w:p w14:paraId="7335AE6C" w14:textId="77777777" w:rsidR="00F46FD6" w:rsidRPr="004B72DA" w:rsidRDefault="00F46FD6" w:rsidP="00F46FD6">
      <w:pPr>
        <w:pStyle w:val="NoSpacing"/>
        <w:rPr>
          <w:szCs w:val="36"/>
        </w:rPr>
      </w:pPr>
      <w:r w:rsidRPr="004B72DA">
        <w:rPr>
          <w:szCs w:val="36"/>
        </w:rPr>
        <w:t>Date of Issue</w:t>
      </w:r>
      <w:r w:rsidRPr="004B72DA">
        <w:rPr>
          <w:szCs w:val="36"/>
        </w:rPr>
        <w:tab/>
      </w:r>
      <w:r w:rsidR="00A234B2">
        <w:rPr>
          <w:szCs w:val="36"/>
        </w:rPr>
        <w:t>20</w:t>
      </w:r>
      <w:r>
        <w:rPr>
          <w:szCs w:val="36"/>
        </w:rPr>
        <w:t>/01/2021</w:t>
      </w:r>
    </w:p>
    <w:p w14:paraId="6D71490A" w14:textId="77777777" w:rsidR="00F46FD6" w:rsidRDefault="00F46FD6" w:rsidP="00F46FD6">
      <w:pPr>
        <w:pStyle w:val="NoSpacing"/>
        <w:rPr>
          <w:szCs w:val="36"/>
        </w:rPr>
      </w:pPr>
      <w:r w:rsidRPr="004B72DA">
        <w:rPr>
          <w:szCs w:val="36"/>
        </w:rPr>
        <w:t>Status Issued</w:t>
      </w:r>
    </w:p>
    <w:p w14:paraId="2E0BF374" w14:textId="77777777" w:rsidR="00F46FD6" w:rsidRDefault="00F46FD6" w:rsidP="00F46FD6">
      <w:pPr>
        <w:pStyle w:val="NoSpacing"/>
        <w:rPr>
          <w:szCs w:val="36"/>
        </w:rPr>
      </w:pPr>
    </w:p>
    <w:p w14:paraId="1B87757F" w14:textId="77777777" w:rsidR="00F46FD6" w:rsidRDefault="00F46FD6">
      <w:r>
        <w:br w:type="page"/>
      </w:r>
    </w:p>
    <w:p w14:paraId="36B34023" w14:textId="77777777" w:rsidR="008A1AB5" w:rsidRDefault="008A1AB5"/>
    <w:p w14:paraId="15B03EA2" w14:textId="77777777" w:rsidR="008A1AB5" w:rsidRDefault="008A1AB5"/>
    <w:p w14:paraId="255F7E02" w14:textId="77777777" w:rsidR="008A1AB5" w:rsidRPr="00FF3F2B" w:rsidRDefault="008A1AB5" w:rsidP="008A1AB5">
      <w:pPr>
        <w:pStyle w:val="ListParagraph"/>
        <w:numPr>
          <w:ilvl w:val="0"/>
          <w:numId w:val="1"/>
        </w:numPr>
        <w:rPr>
          <w:rFonts w:ascii="Arial" w:eastAsia="Arial" w:hAnsi="Arial" w:cs="Arial"/>
          <w:b/>
          <w:lang w:val="en-GB" w:eastAsia="el-GR"/>
        </w:rPr>
      </w:pPr>
      <w:r w:rsidRPr="00FF3F2B">
        <w:rPr>
          <w:rFonts w:ascii="Arial" w:eastAsia="Arial" w:hAnsi="Arial" w:cs="Arial"/>
          <w:b/>
          <w:lang w:val="en-GB" w:eastAsia="el-GR"/>
        </w:rPr>
        <w:t xml:space="preserve">Introduction </w:t>
      </w:r>
    </w:p>
    <w:p w14:paraId="5B71CC32" w14:textId="77777777" w:rsidR="008A1AB5" w:rsidRDefault="008A1AB5" w:rsidP="008A1AB5">
      <w:pPr>
        <w:pStyle w:val="1"/>
        <w:jc w:val="both"/>
        <w:rPr>
          <w:u w:val="single"/>
        </w:rPr>
      </w:pPr>
    </w:p>
    <w:p w14:paraId="37B38038" w14:textId="77777777" w:rsidR="008A1AB5" w:rsidRDefault="008A1AB5" w:rsidP="008A1AB5">
      <w:pPr>
        <w:pStyle w:val="1"/>
        <w:spacing w:line="240" w:lineRule="auto"/>
        <w:jc w:val="both"/>
      </w:pPr>
      <w:r>
        <w:t>The “Connected Motorways” project serves the Gigabit Society targets for 2023 where “All urban areas and all major terrestrial transport paths to have uninterrupted 5G coverage”. The project includes the development of 5G networks that will provide coverage of all Greek motorways that are part of the Trans-European Transport Networks. The aim of the “Connected Motorways” project is to develop the necessary infrastructure that will serve the needs for Connected and Autonomous Mobility.</w:t>
      </w:r>
    </w:p>
    <w:p w14:paraId="7C4AA6F4" w14:textId="77777777" w:rsidR="008A1AB5" w:rsidRDefault="008A1AB5" w:rsidP="008A1AB5">
      <w:pPr>
        <w:pStyle w:val="1"/>
        <w:tabs>
          <w:tab w:val="left" w:pos="3124"/>
        </w:tabs>
        <w:spacing w:line="240" w:lineRule="auto"/>
        <w:jc w:val="both"/>
      </w:pPr>
      <w:r>
        <w:tab/>
      </w:r>
    </w:p>
    <w:p w14:paraId="56F3CAD6" w14:textId="77777777" w:rsidR="008A1AB5" w:rsidRDefault="008A1AB5" w:rsidP="008A1AB5">
      <w:pPr>
        <w:pStyle w:val="1"/>
        <w:spacing w:line="240" w:lineRule="auto"/>
        <w:jc w:val="both"/>
      </w:pPr>
      <w:r>
        <w:t xml:space="preserve">According to the European Commission, the annual benefit from the introduction of 5G in transport will reached EUR 8.3 billion for the EU in 2025, while for Greece it will generate revenues of EUR 2.3 billion in aggregate by 2030, </w:t>
      </w:r>
      <w:proofErr w:type="gramStart"/>
      <w:r>
        <w:t>provided that</w:t>
      </w:r>
      <w:proofErr w:type="gramEnd"/>
      <w:r>
        <w:t xml:space="preserve"> network </w:t>
      </w:r>
      <w:r w:rsidR="00A80EDD">
        <w:t xml:space="preserve">deployment </w:t>
      </w:r>
      <w:r>
        <w:t xml:space="preserve">will launch in 2021. </w:t>
      </w:r>
    </w:p>
    <w:p w14:paraId="61B958AB" w14:textId="77777777" w:rsidR="008A1AB5" w:rsidRDefault="008A1AB5" w:rsidP="008A1AB5">
      <w:pPr>
        <w:pStyle w:val="1"/>
        <w:spacing w:line="240" w:lineRule="auto"/>
        <w:jc w:val="both"/>
      </w:pPr>
    </w:p>
    <w:p w14:paraId="1E8B8BAA" w14:textId="77777777" w:rsidR="00F04D4E" w:rsidRPr="00F04D4E" w:rsidRDefault="008A1AB5" w:rsidP="00F04D4E">
      <w:pPr>
        <w:pStyle w:val="1"/>
        <w:spacing w:line="240" w:lineRule="auto"/>
        <w:jc w:val="both"/>
        <w:rPr>
          <w:lang w:val="en-US"/>
        </w:rPr>
      </w:pPr>
      <w:r>
        <w:t xml:space="preserve">The initiative is expected to accelerate private investments in supply chain, improve productivity of the transport sector, reduce road accidents, and limit greenhouse gas emissions. </w:t>
      </w:r>
      <w:r w:rsidR="00F04D4E" w:rsidRPr="00F04D4E">
        <w:rPr>
          <w:lang w:val="en-US"/>
        </w:rPr>
        <w:t>Europe’s 5G Action Plan sets ambitious objectives for pan-European deployment of 5G connectivity infrastructure along major transport paths by 2025. These “5G corridors” are expected to be a key enabler for connected and automated mobility and for the development of innovative ecosystems around cars and other means of transport.</w:t>
      </w:r>
    </w:p>
    <w:p w14:paraId="6A79AFAE" w14:textId="77777777" w:rsidR="00F04D4E" w:rsidRDefault="00F04D4E" w:rsidP="00F04D4E">
      <w:pPr>
        <w:pStyle w:val="1"/>
        <w:spacing w:line="240" w:lineRule="auto"/>
        <w:jc w:val="both"/>
        <w:rPr>
          <w:lang w:val="en-US"/>
        </w:rPr>
      </w:pPr>
      <w:r w:rsidRPr="00F04D4E">
        <w:rPr>
          <w:lang w:val="en-US"/>
        </w:rPr>
        <w:t>EU is investing in 5</w:t>
      </w:r>
      <w:r w:rsidR="00A80EDD">
        <w:rPr>
          <w:lang w:val="en-US"/>
        </w:rPr>
        <w:t>G</w:t>
      </w:r>
      <w:r w:rsidRPr="00F04D4E">
        <w:rPr>
          <w:lang w:val="en-US"/>
        </w:rPr>
        <w:t xml:space="preserve"> corridors trial projects (</w:t>
      </w:r>
      <w:hyperlink r:id="rId8" w:history="1">
        <w:r w:rsidR="00FC5612" w:rsidRPr="00700696">
          <w:rPr>
            <w:rStyle w:val="Hyperlink"/>
            <w:lang w:val="en-US"/>
          </w:rPr>
          <w:t>https://5g-ppp.eu/5g-blueprint/</w:t>
        </w:r>
      </w:hyperlink>
      <w:r w:rsidRPr="00F04D4E">
        <w:rPr>
          <w:lang w:val="en-US"/>
        </w:rPr>
        <w:t>,</w:t>
      </w:r>
      <w:hyperlink r:id="rId9" w:history="1">
        <w:r w:rsidR="00FC5612" w:rsidRPr="00700696">
          <w:rPr>
            <w:rStyle w:val="Hyperlink"/>
            <w:lang w:val="en-US"/>
          </w:rPr>
          <w:t>https://www.5g-routes.eu/</w:t>
        </w:r>
      </w:hyperlink>
      <w:r w:rsidRPr="00F04D4E">
        <w:rPr>
          <w:lang w:val="en-US"/>
        </w:rPr>
        <w:t>,</w:t>
      </w:r>
      <w:hyperlink r:id="rId10" w:history="1">
        <w:r w:rsidR="00FC5612" w:rsidRPr="00700696">
          <w:rPr>
            <w:rStyle w:val="Hyperlink"/>
            <w:lang w:val="en-US"/>
          </w:rPr>
          <w:t>https://www.5g-mobix.com/</w:t>
        </w:r>
      </w:hyperlink>
      <w:r w:rsidRPr="00F04D4E">
        <w:rPr>
          <w:lang w:val="en-US"/>
        </w:rPr>
        <w:t>,</w:t>
      </w:r>
      <w:hyperlink r:id="rId11" w:history="1">
        <w:r w:rsidR="00FC5612" w:rsidRPr="00700696">
          <w:rPr>
            <w:rStyle w:val="Hyperlink"/>
            <w:lang w:val="en-US"/>
          </w:rPr>
          <w:t>https://5gcroco.eu/</w:t>
        </w:r>
      </w:hyperlink>
      <w:r w:rsidRPr="00F04D4E">
        <w:rPr>
          <w:lang w:val="en-US"/>
        </w:rPr>
        <w:t>,</w:t>
      </w:r>
      <w:hyperlink r:id="rId12" w:history="1">
        <w:r w:rsidR="00FC5612" w:rsidRPr="00700696">
          <w:rPr>
            <w:rStyle w:val="Hyperlink"/>
            <w:lang w:val="en-US"/>
          </w:rPr>
          <w:t>https://5g-ppp.eu/5gmed/,https://5g-ppp.eu/5g-carmen/</w:t>
        </w:r>
      </w:hyperlink>
      <w:r w:rsidRPr="00F04D4E">
        <w:rPr>
          <w:lang w:val="en-US"/>
        </w:rPr>
        <w:t>)</w:t>
      </w:r>
      <w:r>
        <w:rPr>
          <w:lang w:val="en-US"/>
        </w:rPr>
        <w:t>,</w:t>
      </w:r>
      <w:r w:rsidRPr="00F04D4E">
        <w:rPr>
          <w:lang w:val="en-US"/>
        </w:rPr>
        <w:t xml:space="preserve"> three </w:t>
      </w:r>
      <w:r>
        <w:rPr>
          <w:lang w:val="en-US"/>
        </w:rPr>
        <w:t>of these</w:t>
      </w:r>
      <w:r w:rsidR="0038601C" w:rsidRPr="00AB46F9">
        <w:rPr>
          <w:lang w:val="en-US"/>
        </w:rPr>
        <w:t xml:space="preserve"> </w:t>
      </w:r>
      <w:r w:rsidRPr="00F04D4E">
        <w:rPr>
          <w:lang w:val="en-US"/>
        </w:rPr>
        <w:t>5G corridor trial projects were launched in September 2020. Altogether, they will contribute to the validation of 5G technology solutions for use cases in the field of Connected and Automated Mobility. They will also bring insights on service requirements and network deployment planning in view of the Connecting Europe Facility 2 Digital programme (CEF2 Digital). CEF Digital will provide financial support to the deployment of 5G corridors, with a focus on cross-border sections and other economically challenging areas.</w:t>
      </w:r>
    </w:p>
    <w:p w14:paraId="59558585" w14:textId="77777777" w:rsidR="003E6897" w:rsidRDefault="003E6897" w:rsidP="003E6897">
      <w:pPr>
        <w:pStyle w:val="1"/>
        <w:spacing w:line="240" w:lineRule="auto"/>
        <w:jc w:val="both"/>
      </w:pPr>
      <w:r>
        <w:rPr>
          <w:lang w:val="en-US"/>
        </w:rPr>
        <w:t xml:space="preserve">Within the context of this RFI, </w:t>
      </w:r>
      <w:r w:rsidR="00350EED">
        <w:rPr>
          <w:lang w:val="en-US"/>
        </w:rPr>
        <w:t>t</w:t>
      </w:r>
      <w:r>
        <w:rPr>
          <w:lang w:val="en-US"/>
        </w:rPr>
        <w:t>he Ministry of Digital Governance seeks for the market view regarding the develop</w:t>
      </w:r>
      <w:r w:rsidR="00350EED">
        <w:rPr>
          <w:lang w:val="en-US"/>
        </w:rPr>
        <w:t>ment</w:t>
      </w:r>
      <w:r w:rsidR="0038601C" w:rsidRPr="00AB46F9">
        <w:rPr>
          <w:lang w:val="en-US"/>
        </w:rPr>
        <w:t xml:space="preserve"> </w:t>
      </w:r>
      <w:r w:rsidR="00350EED">
        <w:rPr>
          <w:lang w:val="en-US"/>
        </w:rPr>
        <w:t xml:space="preserve">of </w:t>
      </w:r>
      <w:r>
        <w:t>5G networks that will provide coverage of all Greek motorways that are part of the Trans-European Transport Networks that will serve the needs for Connected and Autonomous Mobility.</w:t>
      </w:r>
      <w:r w:rsidR="00E76F64">
        <w:t xml:space="preserve"> </w:t>
      </w:r>
      <w:r w:rsidR="009028D1">
        <w:rPr>
          <w:color w:val="000000"/>
        </w:rPr>
        <w:t xml:space="preserve">The response </w:t>
      </w:r>
      <w:r w:rsidR="009028D1" w:rsidRPr="00873D8B">
        <w:rPr>
          <w:color w:val="000000"/>
        </w:rPr>
        <w:t xml:space="preserve">to this RFI </w:t>
      </w:r>
      <w:r w:rsidR="009028D1">
        <w:rPr>
          <w:color w:val="000000"/>
        </w:rPr>
        <w:t xml:space="preserve">should be </w:t>
      </w:r>
      <w:r w:rsidR="008223C0">
        <w:rPr>
          <w:color w:val="000000"/>
        </w:rPr>
        <w:t xml:space="preserve">submitted </w:t>
      </w:r>
      <w:r w:rsidR="008223C0" w:rsidRPr="00A01DA1">
        <w:rPr>
          <w:color w:val="000000"/>
          <w:highlight w:val="yellow"/>
        </w:rPr>
        <w:t>by</w:t>
      </w:r>
      <w:r w:rsidR="000D2C15" w:rsidRPr="000D2C15">
        <w:rPr>
          <w:color w:val="000000"/>
          <w:highlight w:val="yellow"/>
          <w:lang w:val="en-US"/>
        </w:rPr>
        <w:t>..........</w:t>
      </w:r>
      <w:r w:rsidR="009028D1" w:rsidRPr="00A01DA1">
        <w:rPr>
          <w:color w:val="000000"/>
          <w:highlight w:val="yellow"/>
        </w:rPr>
        <w:t xml:space="preserve"> 202</w:t>
      </w:r>
      <w:r w:rsidR="008223C0" w:rsidRPr="00A01DA1">
        <w:rPr>
          <w:color w:val="000000"/>
          <w:highlight w:val="yellow"/>
        </w:rPr>
        <w:t>1</w:t>
      </w:r>
      <w:r w:rsidR="008223C0">
        <w:rPr>
          <w:color w:val="000000"/>
        </w:rPr>
        <w:t>.</w:t>
      </w:r>
    </w:p>
    <w:p w14:paraId="40F01AF4" w14:textId="77777777" w:rsidR="003E6897" w:rsidRPr="00F04D4E" w:rsidRDefault="003E6897" w:rsidP="00F04D4E">
      <w:pPr>
        <w:pStyle w:val="1"/>
        <w:spacing w:line="240" w:lineRule="auto"/>
        <w:jc w:val="both"/>
        <w:rPr>
          <w:lang w:val="en-US"/>
        </w:rPr>
      </w:pPr>
    </w:p>
    <w:p w14:paraId="5646E219" w14:textId="77777777" w:rsidR="008A1AB5" w:rsidRPr="00FC5612" w:rsidRDefault="008A1AB5" w:rsidP="008A1AB5">
      <w:pPr>
        <w:pStyle w:val="1"/>
        <w:spacing w:line="240" w:lineRule="auto"/>
        <w:jc w:val="both"/>
        <w:rPr>
          <w:lang w:val="en-US"/>
        </w:rPr>
      </w:pPr>
    </w:p>
    <w:p w14:paraId="785CC2A7" w14:textId="77777777" w:rsidR="005252DD" w:rsidRPr="00FF3F2B" w:rsidRDefault="00840046" w:rsidP="00FF3F2B">
      <w:pPr>
        <w:pStyle w:val="ListParagraph"/>
        <w:numPr>
          <w:ilvl w:val="0"/>
          <w:numId w:val="1"/>
        </w:numPr>
        <w:rPr>
          <w:rFonts w:ascii="Arial" w:eastAsia="Arial" w:hAnsi="Arial" w:cs="Arial"/>
          <w:b/>
          <w:lang w:val="en-GB" w:eastAsia="el-GR"/>
        </w:rPr>
      </w:pPr>
      <w:r w:rsidRPr="00FF3F2B">
        <w:rPr>
          <w:rFonts w:ascii="Arial" w:eastAsia="Arial" w:hAnsi="Arial" w:cs="Arial"/>
          <w:b/>
          <w:lang w:val="en-GB" w:eastAsia="el-GR"/>
        </w:rPr>
        <w:t xml:space="preserve">Scope </w:t>
      </w:r>
      <w:r w:rsidR="008A1AB5" w:rsidRPr="00FF3F2B">
        <w:rPr>
          <w:rFonts w:ascii="Arial" w:eastAsia="Arial" w:hAnsi="Arial" w:cs="Arial"/>
          <w:b/>
          <w:lang w:val="en-GB" w:eastAsia="el-GR"/>
        </w:rPr>
        <w:t xml:space="preserve">of the project </w:t>
      </w:r>
      <w:r w:rsidR="004C78AF" w:rsidRPr="00FF3F2B">
        <w:rPr>
          <w:rFonts w:ascii="Arial" w:eastAsia="Arial" w:hAnsi="Arial" w:cs="Arial"/>
          <w:b/>
          <w:lang w:val="en-GB" w:eastAsia="el-GR"/>
        </w:rPr>
        <w:t>-</w:t>
      </w:r>
      <w:r w:rsidRPr="00FF3F2B">
        <w:rPr>
          <w:rFonts w:ascii="Arial" w:eastAsia="Arial" w:hAnsi="Arial" w:cs="Arial"/>
          <w:b/>
          <w:lang w:val="en-GB" w:eastAsia="el-GR"/>
        </w:rPr>
        <w:t>Use cases</w:t>
      </w:r>
    </w:p>
    <w:p w14:paraId="19A47E40" w14:textId="77777777" w:rsidR="00840046" w:rsidRDefault="00434D41" w:rsidP="00FF3F2B">
      <w:pPr>
        <w:pStyle w:val="1"/>
        <w:spacing w:line="240" w:lineRule="auto"/>
        <w:jc w:val="both"/>
      </w:pPr>
      <w:r w:rsidRPr="00840046">
        <w:t>The connected motorways that connect the critical infrastructure (</w:t>
      </w:r>
      <w:r w:rsidR="00A234B2" w:rsidRPr="00840046">
        <w:t>airports</w:t>
      </w:r>
      <w:r w:rsidRPr="00840046">
        <w:t xml:space="preserve">, </w:t>
      </w:r>
      <w:r w:rsidR="00A234B2" w:rsidRPr="00840046">
        <w:t>etc.</w:t>
      </w:r>
      <w:r w:rsidRPr="00840046">
        <w:t xml:space="preserve">) and the </w:t>
      </w:r>
      <w:r w:rsidR="00A234B2" w:rsidRPr="00840046">
        <w:t>cross-border</w:t>
      </w:r>
      <w:r w:rsidRPr="00840046">
        <w:t xml:space="preserve"> connections as well as the actual length of them that are part of the </w:t>
      </w:r>
      <w:r w:rsidR="00FC5612">
        <w:t xml:space="preserve">core </w:t>
      </w:r>
      <w:r w:rsidRPr="00840046">
        <w:t>Trans-European Transport Networks</w:t>
      </w:r>
      <w:r w:rsidR="00FC5612">
        <w:rPr>
          <w:rStyle w:val="FootnoteReference"/>
        </w:rPr>
        <w:footnoteReference w:id="1"/>
      </w:r>
      <w:r w:rsidRPr="00840046">
        <w:t xml:space="preserve">are illustrated in the table </w:t>
      </w:r>
      <w:r w:rsidR="00840046" w:rsidRPr="00840046">
        <w:t xml:space="preserve">1 </w:t>
      </w:r>
      <w:r w:rsidR="008312D6">
        <w:t>below.</w:t>
      </w:r>
    </w:p>
    <w:p w14:paraId="69CBC312" w14:textId="406826AF" w:rsidR="007E2AA8" w:rsidRDefault="007E2AA8" w:rsidP="00AB46F9">
      <w:pPr>
        <w:pStyle w:val="ListParagraph"/>
        <w:autoSpaceDE w:val="0"/>
        <w:autoSpaceDN w:val="0"/>
        <w:adjustRightInd w:val="0"/>
        <w:spacing w:after="0" w:line="360" w:lineRule="auto"/>
        <w:ind w:left="360"/>
        <w:jc w:val="both"/>
      </w:pPr>
    </w:p>
    <w:tbl>
      <w:tblPr>
        <w:tblW w:w="7365" w:type="dxa"/>
        <w:jc w:val="center"/>
        <w:tblLayout w:type="fixed"/>
        <w:tblLook w:val="04A0" w:firstRow="1" w:lastRow="0" w:firstColumn="1" w:lastColumn="0" w:noHBand="0" w:noVBand="1"/>
      </w:tblPr>
      <w:tblGrid>
        <w:gridCol w:w="5719"/>
        <w:gridCol w:w="1646"/>
      </w:tblGrid>
      <w:tr w:rsidR="007E2AA8" w14:paraId="5816975B" w14:textId="77777777" w:rsidTr="007E2AA8">
        <w:trPr>
          <w:trHeight w:val="290"/>
          <w:jc w:val="center"/>
        </w:trPr>
        <w:tc>
          <w:tcPr>
            <w:tcW w:w="5719" w:type="dxa"/>
            <w:tcBorders>
              <w:top w:val="single" w:sz="4" w:space="0" w:color="auto"/>
              <w:left w:val="single" w:sz="4" w:space="0" w:color="auto"/>
              <w:bottom w:val="single" w:sz="4" w:space="0" w:color="auto"/>
              <w:right w:val="single" w:sz="4" w:space="0" w:color="auto"/>
            </w:tcBorders>
            <w:shd w:val="clear" w:color="auto" w:fill="757171"/>
            <w:noWrap/>
            <w:vAlign w:val="bottom"/>
            <w:hideMark/>
          </w:tcPr>
          <w:p w14:paraId="49077A75" w14:textId="77777777" w:rsidR="007E2AA8" w:rsidRDefault="007E2AA8">
            <w:pPr>
              <w:spacing w:line="254" w:lineRule="auto"/>
              <w:jc w:val="both"/>
              <w:rPr>
                <w:rFonts w:ascii="Calibri" w:hAnsi="Calibri" w:cs="Times New Roman"/>
                <w:b/>
                <w:bCs/>
                <w:color w:val="FFFFFF" w:themeColor="background1"/>
                <w:szCs w:val="24"/>
                <w:lang w:val="en" w:eastAsia="en-GB"/>
              </w:rPr>
            </w:pPr>
            <w:r>
              <w:rPr>
                <w:rFonts w:ascii="Calibri" w:hAnsi="Calibri"/>
                <w:b/>
                <w:bCs/>
                <w:color w:val="FFFFFF" w:themeColor="background1"/>
              </w:rPr>
              <w:t>Motorway</w:t>
            </w:r>
          </w:p>
        </w:tc>
        <w:tc>
          <w:tcPr>
            <w:tcW w:w="1646" w:type="dxa"/>
            <w:tcBorders>
              <w:top w:val="single" w:sz="4" w:space="0" w:color="auto"/>
              <w:left w:val="nil"/>
              <w:bottom w:val="single" w:sz="4" w:space="0" w:color="auto"/>
              <w:right w:val="single" w:sz="4" w:space="0" w:color="auto"/>
            </w:tcBorders>
            <w:shd w:val="clear" w:color="auto" w:fill="757171"/>
            <w:noWrap/>
            <w:vAlign w:val="bottom"/>
            <w:hideMark/>
          </w:tcPr>
          <w:p w14:paraId="3EF1AA14" w14:textId="77777777" w:rsidR="007E2AA8" w:rsidRDefault="007E2AA8">
            <w:pPr>
              <w:spacing w:line="254" w:lineRule="auto"/>
              <w:jc w:val="both"/>
              <w:rPr>
                <w:rFonts w:ascii="Calibri" w:hAnsi="Calibri" w:cs="Arial"/>
                <w:b/>
                <w:bCs/>
                <w:color w:val="FFFFFF" w:themeColor="background1"/>
                <w:lang w:eastAsia="el-GR"/>
              </w:rPr>
            </w:pPr>
            <w:r>
              <w:rPr>
                <w:rFonts w:ascii="Calibri" w:hAnsi="Calibri"/>
                <w:b/>
                <w:bCs/>
                <w:color w:val="FFFFFF" w:themeColor="background1"/>
              </w:rPr>
              <w:t>Length (km)</w:t>
            </w:r>
          </w:p>
        </w:tc>
      </w:tr>
      <w:tr w:rsidR="007E2AA8" w14:paraId="2E24B111"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FFFFF"/>
            <w:noWrap/>
            <w:vAlign w:val="bottom"/>
            <w:hideMark/>
          </w:tcPr>
          <w:p w14:paraId="75B972F2" w14:textId="77777777" w:rsidR="007E2AA8" w:rsidRDefault="007E2AA8">
            <w:pPr>
              <w:spacing w:line="254" w:lineRule="auto"/>
              <w:jc w:val="both"/>
              <w:rPr>
                <w:rFonts w:ascii="Calibri" w:hAnsi="Calibri"/>
              </w:rPr>
            </w:pPr>
            <w:r>
              <w:rPr>
                <w:rFonts w:ascii="Calibri" w:hAnsi="Calibri"/>
              </w:rPr>
              <w:lastRenderedPageBreak/>
              <w:t>Egnatia Odos (Igoumenitsa- Thesalloniki – Kipoi Evrou)</w:t>
            </w:r>
          </w:p>
        </w:tc>
        <w:tc>
          <w:tcPr>
            <w:tcW w:w="1646" w:type="dxa"/>
            <w:tcBorders>
              <w:top w:val="nil"/>
              <w:left w:val="nil"/>
              <w:bottom w:val="single" w:sz="4" w:space="0" w:color="auto"/>
              <w:right w:val="single" w:sz="4" w:space="0" w:color="auto"/>
            </w:tcBorders>
            <w:shd w:val="clear" w:color="auto" w:fill="FFFFFF"/>
            <w:noWrap/>
            <w:vAlign w:val="bottom"/>
            <w:hideMark/>
          </w:tcPr>
          <w:p w14:paraId="667B958A" w14:textId="77777777" w:rsidR="007E2AA8" w:rsidRDefault="007E2AA8">
            <w:pPr>
              <w:spacing w:line="254" w:lineRule="auto"/>
              <w:jc w:val="both"/>
              <w:rPr>
                <w:rFonts w:ascii="Calibri" w:hAnsi="Calibri"/>
              </w:rPr>
            </w:pPr>
            <w:r>
              <w:rPr>
                <w:rFonts w:ascii="Calibri" w:hAnsi="Calibri"/>
              </w:rPr>
              <w:t>670</w:t>
            </w:r>
          </w:p>
        </w:tc>
      </w:tr>
      <w:tr w:rsidR="007E2AA8" w14:paraId="3653E65D"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2F2F2"/>
            <w:noWrap/>
            <w:vAlign w:val="bottom"/>
            <w:hideMark/>
          </w:tcPr>
          <w:p w14:paraId="50A99C29" w14:textId="77777777" w:rsidR="007E2AA8" w:rsidRDefault="007E2AA8">
            <w:pPr>
              <w:spacing w:line="254" w:lineRule="auto"/>
              <w:jc w:val="both"/>
              <w:rPr>
                <w:rFonts w:ascii="Calibri" w:hAnsi="Calibri"/>
              </w:rPr>
            </w:pPr>
            <w:r>
              <w:rPr>
                <w:rFonts w:ascii="Calibri" w:hAnsi="Calibri"/>
              </w:rPr>
              <w:t>A.T.E (Athens – Thessaloniki –Evzonoi)</w:t>
            </w:r>
          </w:p>
        </w:tc>
        <w:tc>
          <w:tcPr>
            <w:tcW w:w="1646" w:type="dxa"/>
            <w:tcBorders>
              <w:top w:val="nil"/>
              <w:left w:val="nil"/>
              <w:bottom w:val="single" w:sz="4" w:space="0" w:color="auto"/>
              <w:right w:val="single" w:sz="4" w:space="0" w:color="auto"/>
            </w:tcBorders>
            <w:shd w:val="clear" w:color="auto" w:fill="F2F2F2"/>
            <w:noWrap/>
            <w:vAlign w:val="bottom"/>
            <w:hideMark/>
          </w:tcPr>
          <w:p w14:paraId="15D8B992" w14:textId="77777777" w:rsidR="007E2AA8" w:rsidRDefault="007E2AA8">
            <w:pPr>
              <w:spacing w:line="254" w:lineRule="auto"/>
              <w:jc w:val="both"/>
              <w:rPr>
                <w:rFonts w:ascii="Calibri" w:hAnsi="Calibri"/>
              </w:rPr>
            </w:pPr>
            <w:r>
              <w:rPr>
                <w:rFonts w:ascii="Calibri" w:hAnsi="Calibri"/>
              </w:rPr>
              <w:t>550</w:t>
            </w:r>
          </w:p>
        </w:tc>
      </w:tr>
      <w:tr w:rsidR="007E2AA8" w14:paraId="18CFE93F"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FFFFF"/>
            <w:noWrap/>
            <w:vAlign w:val="bottom"/>
            <w:hideMark/>
          </w:tcPr>
          <w:p w14:paraId="4BB94CD6" w14:textId="77777777" w:rsidR="007E2AA8" w:rsidRDefault="007E2AA8">
            <w:pPr>
              <w:spacing w:line="254" w:lineRule="auto"/>
              <w:jc w:val="both"/>
              <w:rPr>
                <w:rFonts w:ascii="Calibri" w:hAnsi="Calibri"/>
              </w:rPr>
            </w:pPr>
            <w:r>
              <w:rPr>
                <w:rFonts w:ascii="Calibri" w:hAnsi="Calibri"/>
              </w:rPr>
              <w:t>Ionia Odos (Tsakona- Patra-Ioannina- Kakavia)</w:t>
            </w:r>
          </w:p>
        </w:tc>
        <w:tc>
          <w:tcPr>
            <w:tcW w:w="1646" w:type="dxa"/>
            <w:tcBorders>
              <w:top w:val="nil"/>
              <w:left w:val="nil"/>
              <w:bottom w:val="single" w:sz="4" w:space="0" w:color="auto"/>
              <w:right w:val="single" w:sz="4" w:space="0" w:color="auto"/>
            </w:tcBorders>
            <w:shd w:val="clear" w:color="auto" w:fill="FFFFFF"/>
            <w:noWrap/>
            <w:vAlign w:val="bottom"/>
            <w:hideMark/>
          </w:tcPr>
          <w:p w14:paraId="1EC5796C" w14:textId="77777777" w:rsidR="007E2AA8" w:rsidRDefault="007E2AA8">
            <w:pPr>
              <w:spacing w:line="254" w:lineRule="auto"/>
              <w:jc w:val="both"/>
              <w:rPr>
                <w:rFonts w:ascii="Calibri" w:hAnsi="Calibri"/>
              </w:rPr>
            </w:pPr>
            <w:r>
              <w:rPr>
                <w:rFonts w:ascii="Calibri" w:hAnsi="Calibri"/>
              </w:rPr>
              <w:t>417</w:t>
            </w:r>
          </w:p>
        </w:tc>
      </w:tr>
      <w:tr w:rsidR="007E2AA8" w14:paraId="0985F1AE"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2F2F2"/>
            <w:noWrap/>
            <w:vAlign w:val="bottom"/>
            <w:hideMark/>
          </w:tcPr>
          <w:p w14:paraId="7B33D486" w14:textId="77777777" w:rsidR="007E2AA8" w:rsidRDefault="007E2AA8">
            <w:pPr>
              <w:spacing w:line="254" w:lineRule="auto"/>
              <w:jc w:val="both"/>
              <w:rPr>
                <w:rFonts w:ascii="Calibri" w:hAnsi="Calibri"/>
              </w:rPr>
            </w:pPr>
            <w:r>
              <w:rPr>
                <w:rFonts w:ascii="Calibri" w:hAnsi="Calibri"/>
              </w:rPr>
              <w:t>Olympia Odos (Athens – Korinthos – Patra)</w:t>
            </w:r>
          </w:p>
        </w:tc>
        <w:tc>
          <w:tcPr>
            <w:tcW w:w="1646" w:type="dxa"/>
            <w:tcBorders>
              <w:top w:val="nil"/>
              <w:left w:val="nil"/>
              <w:bottom w:val="single" w:sz="4" w:space="0" w:color="auto"/>
              <w:right w:val="single" w:sz="4" w:space="0" w:color="auto"/>
            </w:tcBorders>
            <w:shd w:val="clear" w:color="auto" w:fill="F2F2F2"/>
            <w:noWrap/>
            <w:vAlign w:val="bottom"/>
            <w:hideMark/>
          </w:tcPr>
          <w:p w14:paraId="0E6D1331" w14:textId="77777777" w:rsidR="007E2AA8" w:rsidRDefault="007E2AA8">
            <w:pPr>
              <w:spacing w:line="254" w:lineRule="auto"/>
              <w:jc w:val="both"/>
              <w:rPr>
                <w:rFonts w:ascii="Calibri" w:hAnsi="Calibri"/>
              </w:rPr>
            </w:pPr>
            <w:r>
              <w:rPr>
                <w:rFonts w:ascii="Calibri" w:hAnsi="Calibri"/>
              </w:rPr>
              <w:t>205</w:t>
            </w:r>
          </w:p>
        </w:tc>
      </w:tr>
      <w:tr w:rsidR="007E2AA8" w14:paraId="1534ED71"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FFFFF"/>
            <w:noWrap/>
            <w:vAlign w:val="bottom"/>
            <w:hideMark/>
          </w:tcPr>
          <w:p w14:paraId="7295607F" w14:textId="77777777" w:rsidR="007E2AA8" w:rsidRDefault="007E2AA8">
            <w:pPr>
              <w:spacing w:line="254" w:lineRule="auto"/>
              <w:jc w:val="both"/>
              <w:rPr>
                <w:rFonts w:ascii="Calibri" w:hAnsi="Calibri"/>
              </w:rPr>
            </w:pPr>
            <w:r>
              <w:rPr>
                <w:rFonts w:ascii="Calibri" w:hAnsi="Calibri"/>
              </w:rPr>
              <w:t>Thessaloniki – Serres- Promachonas</w:t>
            </w:r>
          </w:p>
        </w:tc>
        <w:tc>
          <w:tcPr>
            <w:tcW w:w="1646" w:type="dxa"/>
            <w:tcBorders>
              <w:top w:val="nil"/>
              <w:left w:val="nil"/>
              <w:bottom w:val="single" w:sz="4" w:space="0" w:color="auto"/>
              <w:right w:val="single" w:sz="4" w:space="0" w:color="auto"/>
            </w:tcBorders>
            <w:shd w:val="clear" w:color="auto" w:fill="FFFFFF"/>
            <w:noWrap/>
            <w:vAlign w:val="bottom"/>
            <w:hideMark/>
          </w:tcPr>
          <w:p w14:paraId="67A3E27E" w14:textId="77777777" w:rsidR="007E2AA8" w:rsidRDefault="007E2AA8">
            <w:pPr>
              <w:spacing w:line="254" w:lineRule="auto"/>
              <w:jc w:val="both"/>
              <w:rPr>
                <w:rFonts w:ascii="Calibri" w:hAnsi="Calibri"/>
              </w:rPr>
            </w:pPr>
            <w:r>
              <w:rPr>
                <w:rFonts w:ascii="Calibri" w:hAnsi="Calibri"/>
              </w:rPr>
              <w:t>105</w:t>
            </w:r>
          </w:p>
        </w:tc>
      </w:tr>
      <w:tr w:rsidR="007E2AA8" w14:paraId="0C4AB026"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2F2F2"/>
            <w:noWrap/>
            <w:vAlign w:val="bottom"/>
            <w:hideMark/>
          </w:tcPr>
          <w:p w14:paraId="2A85D095" w14:textId="77777777" w:rsidR="007E2AA8" w:rsidRDefault="007E2AA8">
            <w:pPr>
              <w:spacing w:line="254" w:lineRule="auto"/>
              <w:jc w:val="both"/>
              <w:rPr>
                <w:rFonts w:ascii="Calibri" w:hAnsi="Calibri"/>
              </w:rPr>
            </w:pPr>
            <w:r>
              <w:rPr>
                <w:rFonts w:ascii="Calibri" w:hAnsi="Calibri"/>
              </w:rPr>
              <w:t>Attiki Odos (Elefsina- El Venizelos International airport)</w:t>
            </w:r>
          </w:p>
        </w:tc>
        <w:tc>
          <w:tcPr>
            <w:tcW w:w="1646" w:type="dxa"/>
            <w:tcBorders>
              <w:top w:val="nil"/>
              <w:left w:val="nil"/>
              <w:bottom w:val="single" w:sz="4" w:space="0" w:color="auto"/>
              <w:right w:val="single" w:sz="4" w:space="0" w:color="auto"/>
            </w:tcBorders>
            <w:shd w:val="clear" w:color="auto" w:fill="F2F2F2"/>
            <w:noWrap/>
            <w:vAlign w:val="bottom"/>
            <w:hideMark/>
          </w:tcPr>
          <w:p w14:paraId="6A9FB75F" w14:textId="77777777" w:rsidR="007E2AA8" w:rsidRDefault="007E2AA8">
            <w:pPr>
              <w:spacing w:line="254" w:lineRule="auto"/>
              <w:jc w:val="both"/>
              <w:rPr>
                <w:rFonts w:ascii="Calibri" w:hAnsi="Calibri"/>
              </w:rPr>
            </w:pPr>
            <w:r>
              <w:rPr>
                <w:rFonts w:ascii="Calibri" w:hAnsi="Calibri"/>
              </w:rPr>
              <w:t>64</w:t>
            </w:r>
          </w:p>
        </w:tc>
      </w:tr>
      <w:tr w:rsidR="007E2AA8" w14:paraId="25E325B2"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2F2F2"/>
            <w:noWrap/>
            <w:vAlign w:val="bottom"/>
            <w:hideMark/>
          </w:tcPr>
          <w:p w14:paraId="28546637" w14:textId="77777777" w:rsidR="007E2AA8" w:rsidRDefault="007E2AA8">
            <w:pPr>
              <w:spacing w:line="254" w:lineRule="auto"/>
              <w:jc w:val="both"/>
              <w:rPr>
                <w:rFonts w:ascii="Calibri" w:hAnsi="Calibri"/>
              </w:rPr>
            </w:pPr>
            <w:r>
              <w:rPr>
                <w:rFonts w:ascii="Calibri" w:hAnsi="Calibri"/>
              </w:rPr>
              <w:t>Central Peloponnisos (Moreas – Korinthos- Tripoli- Kalamata)</w:t>
            </w:r>
          </w:p>
        </w:tc>
        <w:tc>
          <w:tcPr>
            <w:tcW w:w="1646" w:type="dxa"/>
            <w:tcBorders>
              <w:top w:val="nil"/>
              <w:left w:val="nil"/>
              <w:bottom w:val="single" w:sz="4" w:space="0" w:color="auto"/>
              <w:right w:val="single" w:sz="4" w:space="0" w:color="auto"/>
            </w:tcBorders>
            <w:shd w:val="clear" w:color="auto" w:fill="F2F2F2"/>
            <w:noWrap/>
            <w:vAlign w:val="bottom"/>
            <w:hideMark/>
          </w:tcPr>
          <w:p w14:paraId="48E21F9A" w14:textId="77777777" w:rsidR="007E2AA8" w:rsidRDefault="007E2AA8">
            <w:pPr>
              <w:spacing w:line="254" w:lineRule="auto"/>
              <w:jc w:val="both"/>
              <w:rPr>
                <w:rFonts w:ascii="Calibri" w:hAnsi="Calibri"/>
              </w:rPr>
            </w:pPr>
            <w:r>
              <w:rPr>
                <w:rFonts w:ascii="Calibri" w:hAnsi="Calibri"/>
              </w:rPr>
              <w:t>205</w:t>
            </w:r>
          </w:p>
        </w:tc>
      </w:tr>
      <w:tr w:rsidR="007E2AA8" w14:paraId="4B46D984" w14:textId="77777777" w:rsidTr="007E2AA8">
        <w:trPr>
          <w:trHeight w:val="290"/>
          <w:jc w:val="center"/>
        </w:trPr>
        <w:tc>
          <w:tcPr>
            <w:tcW w:w="5719" w:type="dxa"/>
            <w:tcBorders>
              <w:top w:val="nil"/>
              <w:left w:val="single" w:sz="4" w:space="0" w:color="auto"/>
              <w:bottom w:val="single" w:sz="4" w:space="0" w:color="auto"/>
              <w:right w:val="single" w:sz="4" w:space="0" w:color="auto"/>
            </w:tcBorders>
            <w:shd w:val="clear" w:color="auto" w:fill="F2F2F2"/>
            <w:noWrap/>
            <w:vAlign w:val="bottom"/>
            <w:hideMark/>
          </w:tcPr>
          <w:p w14:paraId="1629F3D6" w14:textId="77777777" w:rsidR="007E2AA8" w:rsidRDefault="007E2AA8">
            <w:pPr>
              <w:spacing w:line="254" w:lineRule="auto"/>
              <w:jc w:val="both"/>
              <w:rPr>
                <w:rFonts w:ascii="Calibri" w:hAnsi="Calibri"/>
              </w:rPr>
            </w:pPr>
            <w:r>
              <w:rPr>
                <w:rFonts w:ascii="Calibri" w:hAnsi="Calibri"/>
              </w:rPr>
              <w:t xml:space="preserve">Central Greece </w:t>
            </w:r>
          </w:p>
        </w:tc>
        <w:tc>
          <w:tcPr>
            <w:tcW w:w="1646" w:type="dxa"/>
            <w:tcBorders>
              <w:top w:val="nil"/>
              <w:left w:val="nil"/>
              <w:bottom w:val="single" w:sz="4" w:space="0" w:color="auto"/>
              <w:right w:val="single" w:sz="4" w:space="0" w:color="auto"/>
            </w:tcBorders>
            <w:shd w:val="clear" w:color="auto" w:fill="F2F2F2"/>
            <w:noWrap/>
            <w:vAlign w:val="bottom"/>
            <w:hideMark/>
          </w:tcPr>
          <w:p w14:paraId="627C07DF" w14:textId="77777777" w:rsidR="007E2AA8" w:rsidRDefault="007E2AA8">
            <w:pPr>
              <w:spacing w:line="254" w:lineRule="auto"/>
              <w:jc w:val="both"/>
              <w:rPr>
                <w:rFonts w:ascii="Calibri" w:hAnsi="Calibri"/>
              </w:rPr>
            </w:pPr>
            <w:r>
              <w:rPr>
                <w:rFonts w:ascii="Calibri" w:hAnsi="Calibri"/>
              </w:rPr>
              <w:t>181</w:t>
            </w:r>
          </w:p>
        </w:tc>
      </w:tr>
      <w:tr w:rsidR="007E2AA8" w14:paraId="5314052A" w14:textId="77777777" w:rsidTr="007E2AA8">
        <w:trPr>
          <w:trHeight w:val="300"/>
          <w:jc w:val="center"/>
        </w:trPr>
        <w:tc>
          <w:tcPr>
            <w:tcW w:w="5719" w:type="dxa"/>
            <w:tcBorders>
              <w:top w:val="nil"/>
              <w:left w:val="nil"/>
              <w:bottom w:val="double" w:sz="6" w:space="0" w:color="auto"/>
              <w:right w:val="nil"/>
            </w:tcBorders>
            <w:shd w:val="clear" w:color="auto" w:fill="FFFFFF"/>
            <w:noWrap/>
            <w:vAlign w:val="bottom"/>
            <w:hideMark/>
          </w:tcPr>
          <w:p w14:paraId="78137F2E" w14:textId="77777777" w:rsidR="007E2AA8" w:rsidRDefault="007E2AA8">
            <w:pPr>
              <w:spacing w:line="254" w:lineRule="auto"/>
              <w:jc w:val="both"/>
              <w:rPr>
                <w:rFonts w:ascii="Calibri" w:hAnsi="Calibri"/>
                <w:b/>
                <w:bCs/>
              </w:rPr>
            </w:pPr>
            <w:r>
              <w:rPr>
                <w:rFonts w:ascii="Calibri" w:hAnsi="Calibri"/>
                <w:b/>
                <w:bCs/>
              </w:rPr>
              <w:t xml:space="preserve">Total </w:t>
            </w:r>
          </w:p>
        </w:tc>
        <w:tc>
          <w:tcPr>
            <w:tcW w:w="1646" w:type="dxa"/>
            <w:tcBorders>
              <w:top w:val="nil"/>
              <w:left w:val="nil"/>
              <w:bottom w:val="double" w:sz="6" w:space="0" w:color="auto"/>
              <w:right w:val="nil"/>
            </w:tcBorders>
            <w:shd w:val="clear" w:color="auto" w:fill="FFFFFF"/>
            <w:noWrap/>
            <w:vAlign w:val="bottom"/>
            <w:hideMark/>
          </w:tcPr>
          <w:p w14:paraId="1F030CF0" w14:textId="77777777" w:rsidR="007E2AA8" w:rsidRDefault="007E2AA8">
            <w:pPr>
              <w:spacing w:line="254" w:lineRule="auto"/>
              <w:jc w:val="both"/>
              <w:rPr>
                <w:rFonts w:ascii="Calibri" w:hAnsi="Calibri"/>
                <w:b/>
                <w:bCs/>
              </w:rPr>
            </w:pPr>
            <w:r>
              <w:rPr>
                <w:rFonts w:ascii="Calibri" w:hAnsi="Calibri"/>
                <w:b/>
                <w:bCs/>
              </w:rPr>
              <w:t>2,397 km</w:t>
            </w:r>
          </w:p>
        </w:tc>
      </w:tr>
    </w:tbl>
    <w:p w14:paraId="46B956FD" w14:textId="77777777" w:rsidR="00873D8B" w:rsidRDefault="003E6897" w:rsidP="00873D8B">
      <w:pPr>
        <w:jc w:val="both"/>
        <w:rPr>
          <w:rFonts w:ascii="Arial" w:hAnsi="Arial" w:cs="Arial"/>
        </w:rPr>
      </w:pPr>
      <w:r>
        <w:rPr>
          <w:rFonts w:ascii="Arial" w:hAnsi="Arial" w:cs="Arial"/>
        </w:rPr>
        <w:t>As stated i</w:t>
      </w:r>
      <w:r w:rsidR="00873D8B" w:rsidRPr="00873D8B">
        <w:rPr>
          <w:rFonts w:ascii="Arial" w:hAnsi="Arial" w:cs="Arial"/>
        </w:rPr>
        <w:t>n a relevant study</w:t>
      </w:r>
      <w:r w:rsidR="00E76F64">
        <w:rPr>
          <w:rStyle w:val="FootnoteReference"/>
          <w:rFonts w:ascii="Arial" w:hAnsi="Arial" w:cs="Arial"/>
        </w:rPr>
        <w:footnoteReference w:id="2"/>
      </w:r>
      <w:r w:rsidR="00873D8B" w:rsidRPr="00873D8B">
        <w:rPr>
          <w:rFonts w:ascii="Arial" w:hAnsi="Arial" w:cs="Arial"/>
        </w:rPr>
        <w:t xml:space="preserve"> of the European Commission, it is estimated that in 2025 the annual benefit from the introduction of 5G networks in transport will amount to </w:t>
      </w:r>
      <w:r w:rsidR="006F2B1A">
        <w:rPr>
          <w:rFonts w:ascii="Arial" w:hAnsi="Arial" w:cs="Arial"/>
        </w:rPr>
        <w:t>EUR</w:t>
      </w:r>
      <w:r w:rsidR="00873D8B" w:rsidRPr="00873D8B">
        <w:rPr>
          <w:rFonts w:ascii="Arial" w:hAnsi="Arial" w:cs="Arial"/>
        </w:rPr>
        <w:t xml:space="preserve"> 8.3 b</w:t>
      </w:r>
      <w:r w:rsidR="006F2B1A">
        <w:rPr>
          <w:rFonts w:ascii="Arial" w:hAnsi="Arial" w:cs="Arial"/>
        </w:rPr>
        <w:t>illio</w:t>
      </w:r>
      <w:r w:rsidR="00873D8B" w:rsidRPr="00873D8B">
        <w:rPr>
          <w:rFonts w:ascii="Arial" w:hAnsi="Arial" w:cs="Arial"/>
        </w:rPr>
        <w:t>n for the EU, while for the country the benefit from the implementation of 5G networks in transport will contribute cumulatively until 2030, revenues of</w:t>
      </w:r>
      <w:r w:rsidR="006F2B1A">
        <w:rPr>
          <w:rFonts w:ascii="Arial" w:hAnsi="Arial" w:cs="Arial"/>
        </w:rPr>
        <w:t xml:space="preserve"> EUR </w:t>
      </w:r>
      <w:r w:rsidR="00873D8B" w:rsidRPr="00873D8B">
        <w:rPr>
          <w:rFonts w:ascii="Arial" w:hAnsi="Arial" w:cs="Arial"/>
        </w:rPr>
        <w:t>2.3</w:t>
      </w:r>
      <w:r w:rsidR="006F2B1A">
        <w:rPr>
          <w:rFonts w:ascii="Arial" w:hAnsi="Arial" w:cs="Arial"/>
        </w:rPr>
        <w:t xml:space="preserve"> billio</w:t>
      </w:r>
      <w:r w:rsidR="00873D8B" w:rsidRPr="00873D8B">
        <w:rPr>
          <w:rFonts w:ascii="Arial" w:hAnsi="Arial" w:cs="Arial"/>
        </w:rPr>
        <w:t>n if the gradual development of the network starts in 2021.The proposal also covers the requirements arising from the LOI signed by the country, in the framework of Europe's 5G Corridors pilot projects for the Thessaloniki, Sofia-Belgrade: EL-BG-RS axis, via the Thessaloniki - Serres</w:t>
      </w:r>
      <w:r w:rsidR="00EC4D14">
        <w:rPr>
          <w:rFonts w:ascii="Arial" w:hAnsi="Arial" w:cs="Arial"/>
        </w:rPr>
        <w:t>–</w:t>
      </w:r>
      <w:r w:rsidR="00E76F64">
        <w:rPr>
          <w:rFonts w:ascii="Arial" w:hAnsi="Arial" w:cs="Arial"/>
        </w:rPr>
        <w:t xml:space="preserve"> </w:t>
      </w:r>
      <w:r w:rsidR="008312D6" w:rsidRPr="00D67AB4">
        <w:rPr>
          <w:rFonts w:ascii="Arial" w:hAnsi="Arial" w:cs="Arial"/>
        </w:rPr>
        <w:t>Promachonas</w:t>
      </w:r>
      <w:r w:rsidR="00716977" w:rsidRPr="00716977">
        <w:rPr>
          <w:rFonts w:ascii="Arial" w:hAnsi="Arial" w:cs="Arial"/>
        </w:rPr>
        <w:t xml:space="preserve"> </w:t>
      </w:r>
      <w:r w:rsidR="00716977" w:rsidRPr="00873D8B">
        <w:rPr>
          <w:rFonts w:ascii="Arial" w:hAnsi="Arial" w:cs="Arial"/>
        </w:rPr>
        <w:t>highway</w:t>
      </w:r>
      <w:r w:rsidR="00873D8B" w:rsidRPr="00873D8B">
        <w:rPr>
          <w:rFonts w:ascii="Arial" w:hAnsi="Arial" w:cs="Arial"/>
        </w:rPr>
        <w:t>.</w:t>
      </w:r>
      <w:r w:rsidR="00716977" w:rsidRPr="00716977">
        <w:rPr>
          <w:rFonts w:ascii="Arial" w:hAnsi="Arial" w:cs="Arial"/>
        </w:rPr>
        <w:t xml:space="preserve"> </w:t>
      </w:r>
      <w:r w:rsidR="00873D8B" w:rsidRPr="00873D8B">
        <w:rPr>
          <w:rFonts w:ascii="Arial" w:hAnsi="Arial" w:cs="Arial"/>
        </w:rPr>
        <w:t xml:space="preserve">It is noted that the project </w:t>
      </w:r>
      <w:r w:rsidR="006F2B1A">
        <w:rPr>
          <w:rFonts w:ascii="Arial" w:hAnsi="Arial" w:cs="Arial"/>
        </w:rPr>
        <w:t>meets</w:t>
      </w:r>
      <w:r w:rsidR="001F3745" w:rsidRPr="001F3745">
        <w:rPr>
          <w:rFonts w:ascii="Arial" w:hAnsi="Arial" w:cs="Arial"/>
        </w:rPr>
        <w:t xml:space="preserve"> </w:t>
      </w:r>
      <w:r w:rsidR="00873D8B" w:rsidRPr="00873D8B">
        <w:rPr>
          <w:rFonts w:ascii="Arial" w:hAnsi="Arial" w:cs="Arial"/>
        </w:rPr>
        <w:t>the 3rd recommendation of the text "Council Recommendation on the National Reform Program of Greece 2020 and the expression of the Council opinion on the Stability Program of Greece 2020</w:t>
      </w:r>
      <w:r w:rsidR="00D67AB4">
        <w:rPr>
          <w:rStyle w:val="FootnoteReference"/>
          <w:rFonts w:ascii="Arial" w:hAnsi="Arial" w:cs="Arial"/>
        </w:rPr>
        <w:footnoteReference w:id="3"/>
      </w:r>
      <w:r w:rsidR="00873D8B" w:rsidRPr="00873D8B">
        <w:rPr>
          <w:rFonts w:ascii="Arial" w:hAnsi="Arial" w:cs="Arial"/>
        </w:rPr>
        <w:t>", which states, among others:</w:t>
      </w:r>
      <w:r w:rsidR="006F2B1A">
        <w:rPr>
          <w:rFonts w:ascii="Arial" w:hAnsi="Arial" w:cs="Arial"/>
        </w:rPr>
        <w:t xml:space="preserve"> “</w:t>
      </w:r>
      <w:r w:rsidR="00873D8B" w:rsidRPr="00873D8B">
        <w:rPr>
          <w:rFonts w:ascii="Arial" w:hAnsi="Arial" w:cs="Arial"/>
        </w:rPr>
        <w:t>[…] Focus on investment in green and digital transitions, in particular on secure and sustainable transport and logistics, clean and efficient energy production and use, environmental infrastructure, high-capacity digital infrastructure and digital skills. Improve the efficiency and digitization of public administration and promote the digital transformation of businesses</w:t>
      </w:r>
      <w:r w:rsidR="006F2B1A">
        <w:rPr>
          <w:rFonts w:ascii="Arial" w:hAnsi="Arial" w:cs="Arial"/>
        </w:rPr>
        <w:t>”</w:t>
      </w:r>
      <w:r w:rsidR="00873D8B" w:rsidRPr="00873D8B">
        <w:rPr>
          <w:rFonts w:ascii="Arial" w:hAnsi="Arial" w:cs="Arial"/>
        </w:rPr>
        <w:t>.</w:t>
      </w:r>
    </w:p>
    <w:p w14:paraId="4F4B10E2" w14:textId="4AAD18A0" w:rsidR="00F46FD6" w:rsidRDefault="00AF4BA7" w:rsidP="00873D8B">
      <w:pPr>
        <w:jc w:val="both"/>
        <w:rPr>
          <w:rFonts w:ascii="Arial" w:hAnsi="Arial" w:cs="Arial"/>
        </w:rPr>
      </w:pPr>
      <w:r w:rsidRPr="003E6897">
        <w:rPr>
          <w:rFonts w:ascii="Arial" w:hAnsi="Arial" w:cs="Arial"/>
        </w:rPr>
        <w:t>The scope of the project is to investigate, identify</w:t>
      </w:r>
      <w:r w:rsidR="006F2B1A">
        <w:rPr>
          <w:rFonts w:ascii="Arial" w:hAnsi="Arial" w:cs="Arial"/>
        </w:rPr>
        <w:t>,</w:t>
      </w:r>
      <w:r w:rsidRPr="003E6897">
        <w:rPr>
          <w:rFonts w:ascii="Arial" w:hAnsi="Arial" w:cs="Arial"/>
        </w:rPr>
        <w:t xml:space="preserve"> and develop the required elements on network infrastructure </w:t>
      </w:r>
      <w:proofErr w:type="gramStart"/>
      <w:r w:rsidRPr="003E6897">
        <w:rPr>
          <w:rFonts w:ascii="Arial" w:hAnsi="Arial" w:cs="Arial"/>
        </w:rPr>
        <w:t>so as to</w:t>
      </w:r>
      <w:proofErr w:type="gramEnd"/>
      <w:r w:rsidRPr="003E6897">
        <w:rPr>
          <w:rFonts w:ascii="Arial" w:hAnsi="Arial" w:cs="Arial"/>
        </w:rPr>
        <w:t xml:space="preserve"> develop smart automobile capabilities along the Greek highways illustrated in the table above taking into account all complying to national, European</w:t>
      </w:r>
      <w:r w:rsidR="006F2B1A">
        <w:rPr>
          <w:rFonts w:ascii="Arial" w:hAnsi="Arial" w:cs="Arial"/>
        </w:rPr>
        <w:t>,</w:t>
      </w:r>
      <w:r w:rsidRPr="003E6897">
        <w:rPr>
          <w:rFonts w:ascii="Arial" w:hAnsi="Arial" w:cs="Arial"/>
        </w:rPr>
        <w:t xml:space="preserve"> and international law and regulations (</w:t>
      </w:r>
      <w:r w:rsidR="007E2AA8" w:rsidRPr="003E6897">
        <w:rPr>
          <w:rFonts w:ascii="Arial" w:hAnsi="Arial" w:cs="Arial"/>
        </w:rPr>
        <w:t>e.g.,</w:t>
      </w:r>
      <w:r w:rsidRPr="003E6897">
        <w:rPr>
          <w:rFonts w:ascii="Arial" w:hAnsi="Arial" w:cs="Arial"/>
        </w:rPr>
        <w:t xml:space="preserve"> ITU, GDPR etc</w:t>
      </w:r>
      <w:r w:rsidR="00E50503">
        <w:rPr>
          <w:rFonts w:ascii="Arial" w:hAnsi="Arial" w:cs="Arial"/>
        </w:rPr>
        <w:t>). In more detail the most dominant use case</w:t>
      </w:r>
      <w:r w:rsidR="00840046">
        <w:rPr>
          <w:rFonts w:ascii="Arial" w:hAnsi="Arial" w:cs="Arial"/>
        </w:rPr>
        <w:t>s</w:t>
      </w:r>
      <w:r w:rsidR="001F3745" w:rsidRPr="001F3745">
        <w:rPr>
          <w:rFonts w:ascii="Arial" w:hAnsi="Arial" w:cs="Arial"/>
        </w:rPr>
        <w:t xml:space="preserve"> </w:t>
      </w:r>
      <w:r w:rsidR="008312D6" w:rsidRPr="008312D6">
        <w:rPr>
          <w:rFonts w:ascii="Arial" w:hAnsi="Arial" w:cs="Arial"/>
        </w:rPr>
        <w:t>adopted from 3rd Generation Partnership Project (3GPP)</w:t>
      </w:r>
      <w:r w:rsidR="00716977" w:rsidRPr="00716977">
        <w:rPr>
          <w:rFonts w:ascii="Arial" w:hAnsi="Arial" w:cs="Arial"/>
        </w:rPr>
        <w:t xml:space="preserve"> </w:t>
      </w:r>
      <w:r w:rsidR="00525891">
        <w:rPr>
          <w:rFonts w:ascii="Arial" w:hAnsi="Arial" w:cs="Arial"/>
        </w:rPr>
        <w:t>are</w:t>
      </w:r>
      <w:r w:rsidR="00963064">
        <w:rPr>
          <w:rFonts w:ascii="Arial" w:hAnsi="Arial" w:cs="Arial"/>
        </w:rPr>
        <w:t xml:space="preserve"> as </w:t>
      </w:r>
      <w:r w:rsidR="00525891">
        <w:rPr>
          <w:rFonts w:ascii="Arial" w:hAnsi="Arial" w:cs="Arial"/>
        </w:rPr>
        <w:t>follows:</w:t>
      </w:r>
    </w:p>
    <w:p w14:paraId="0DD39A4D" w14:textId="77777777" w:rsidR="00963064" w:rsidRDefault="00963064" w:rsidP="00873D8B">
      <w:pPr>
        <w:jc w:val="both"/>
        <w:rPr>
          <w:rFonts w:ascii="Arial" w:hAnsi="Arial" w:cs="Arial"/>
        </w:rPr>
      </w:pPr>
    </w:p>
    <w:p w14:paraId="09D33A8B" w14:textId="77777777" w:rsidR="00963064" w:rsidRPr="00A00E67" w:rsidRDefault="008312D6" w:rsidP="00963064">
      <w:pPr>
        <w:autoSpaceDE w:val="0"/>
        <w:autoSpaceDN w:val="0"/>
        <w:adjustRightInd w:val="0"/>
        <w:spacing w:after="0" w:line="240" w:lineRule="auto"/>
        <w:rPr>
          <w:rFonts w:ascii="Arial" w:hAnsi="Arial" w:cs="Arial"/>
          <w:b/>
          <w:bCs/>
        </w:rPr>
      </w:pPr>
      <w:r w:rsidRPr="00A00E67">
        <w:rPr>
          <w:rFonts w:ascii="Arial" w:hAnsi="Arial" w:cs="Arial"/>
          <w:b/>
          <w:bCs/>
        </w:rPr>
        <w:t>- Vehicles Platooning</w:t>
      </w:r>
    </w:p>
    <w:p w14:paraId="07798D50" w14:textId="0BC55E5E" w:rsidR="00963064" w:rsidRPr="009028D1" w:rsidRDefault="008312D6" w:rsidP="00A00E67">
      <w:pPr>
        <w:autoSpaceDE w:val="0"/>
        <w:autoSpaceDN w:val="0"/>
        <w:adjustRightInd w:val="0"/>
        <w:spacing w:after="0" w:line="240" w:lineRule="auto"/>
        <w:jc w:val="both"/>
        <w:rPr>
          <w:rFonts w:ascii="Arial" w:hAnsi="Arial" w:cs="Arial"/>
        </w:rPr>
      </w:pPr>
      <w:r w:rsidRPr="008312D6">
        <w:rPr>
          <w:rFonts w:ascii="Arial" w:hAnsi="Arial" w:cs="Arial"/>
        </w:rPr>
        <w:t>Enables the vehicles to dynamically form a group travelling together. All the vehicles in the platoon</w:t>
      </w:r>
      <w:r w:rsidR="007E2AA8">
        <w:rPr>
          <w:rFonts w:ascii="Arial" w:hAnsi="Arial" w:cs="Arial"/>
        </w:rPr>
        <w:t xml:space="preserve"> </w:t>
      </w:r>
      <w:r w:rsidR="00593B26">
        <w:rPr>
          <w:rFonts w:ascii="Arial" w:hAnsi="Arial" w:cs="Arial"/>
        </w:rPr>
        <w:t>receiver</w:t>
      </w:r>
      <w:r w:rsidR="00593B26" w:rsidRPr="008312D6">
        <w:rPr>
          <w:rFonts w:ascii="Arial" w:hAnsi="Arial" w:cs="Arial"/>
        </w:rPr>
        <w:t xml:space="preserve"> periodic</w:t>
      </w:r>
      <w:r w:rsidRPr="008312D6">
        <w:rPr>
          <w:rFonts w:ascii="Arial" w:hAnsi="Arial" w:cs="Arial"/>
        </w:rPr>
        <w:t xml:space="preserve"> data from the leading vehicle, </w:t>
      </w:r>
      <w:proofErr w:type="gramStart"/>
      <w:r w:rsidRPr="008312D6">
        <w:rPr>
          <w:rFonts w:ascii="Arial" w:hAnsi="Arial" w:cs="Arial"/>
        </w:rPr>
        <w:t>in order to</w:t>
      </w:r>
      <w:proofErr w:type="gramEnd"/>
      <w:r w:rsidRPr="008312D6">
        <w:rPr>
          <w:rFonts w:ascii="Arial" w:hAnsi="Arial" w:cs="Arial"/>
        </w:rPr>
        <w:t xml:space="preserve"> carry on platoon operations. This information allows the distance between vehicles to become extremely small, i.e., the gap distance translated to time can be very low (</w:t>
      </w:r>
      <w:r w:rsidR="007E2AA8" w:rsidRPr="008312D6">
        <w:rPr>
          <w:rFonts w:ascii="Arial" w:hAnsi="Arial" w:cs="Arial"/>
        </w:rPr>
        <w:t>sub second</w:t>
      </w:r>
      <w:r w:rsidRPr="008312D6">
        <w:rPr>
          <w:rFonts w:ascii="Arial" w:hAnsi="Arial" w:cs="Arial"/>
        </w:rPr>
        <w:t>). Platooning applications may allow the vehicles following to be autonomously driven.</w:t>
      </w:r>
    </w:p>
    <w:p w14:paraId="5D2EECFC" w14:textId="77777777" w:rsidR="00963064" w:rsidRPr="009028D1" w:rsidRDefault="00963064" w:rsidP="00963064">
      <w:pPr>
        <w:autoSpaceDE w:val="0"/>
        <w:autoSpaceDN w:val="0"/>
        <w:adjustRightInd w:val="0"/>
        <w:spacing w:after="0" w:line="240" w:lineRule="auto"/>
        <w:rPr>
          <w:rFonts w:ascii="Arial" w:hAnsi="Arial" w:cs="Arial"/>
        </w:rPr>
      </w:pPr>
    </w:p>
    <w:p w14:paraId="6C465EDA" w14:textId="77777777" w:rsidR="00963064" w:rsidRPr="00A00E67" w:rsidRDefault="008312D6" w:rsidP="00963064">
      <w:pPr>
        <w:autoSpaceDE w:val="0"/>
        <w:autoSpaceDN w:val="0"/>
        <w:adjustRightInd w:val="0"/>
        <w:spacing w:after="0" w:line="240" w:lineRule="auto"/>
        <w:rPr>
          <w:rFonts w:ascii="Arial" w:hAnsi="Arial" w:cs="Arial"/>
          <w:b/>
          <w:bCs/>
        </w:rPr>
      </w:pPr>
      <w:r w:rsidRPr="00A00E67">
        <w:rPr>
          <w:rFonts w:ascii="Arial" w:hAnsi="Arial" w:cs="Arial"/>
          <w:b/>
          <w:bCs/>
        </w:rPr>
        <w:lastRenderedPageBreak/>
        <w:t>- Advanced Driving</w:t>
      </w:r>
    </w:p>
    <w:p w14:paraId="62B1D332" w14:textId="2DC1EA02" w:rsidR="00963064" w:rsidRPr="009028D1" w:rsidRDefault="008312D6" w:rsidP="00A00E67">
      <w:pPr>
        <w:autoSpaceDE w:val="0"/>
        <w:autoSpaceDN w:val="0"/>
        <w:adjustRightInd w:val="0"/>
        <w:spacing w:after="0" w:line="240" w:lineRule="auto"/>
        <w:jc w:val="both"/>
        <w:rPr>
          <w:rFonts w:ascii="Arial" w:hAnsi="Arial" w:cs="Arial"/>
        </w:rPr>
      </w:pPr>
      <w:r w:rsidRPr="008312D6">
        <w:rPr>
          <w:rFonts w:ascii="Arial" w:hAnsi="Arial" w:cs="Arial"/>
        </w:rPr>
        <w:t xml:space="preserve">Enables semi-automated or </w:t>
      </w:r>
      <w:proofErr w:type="gramStart"/>
      <w:r w:rsidRPr="008312D6">
        <w:rPr>
          <w:rFonts w:ascii="Arial" w:hAnsi="Arial" w:cs="Arial"/>
        </w:rPr>
        <w:t>fully-automated</w:t>
      </w:r>
      <w:proofErr w:type="gramEnd"/>
      <w:r w:rsidRPr="008312D6">
        <w:rPr>
          <w:rFonts w:ascii="Arial" w:hAnsi="Arial" w:cs="Arial"/>
        </w:rPr>
        <w:t xml:space="preserve"> driving. Longer inter-vehicle distance is assumed. Each</w:t>
      </w:r>
      <w:r w:rsidR="001F3745" w:rsidRPr="001F3745">
        <w:rPr>
          <w:rFonts w:ascii="Arial" w:hAnsi="Arial" w:cs="Arial"/>
        </w:rPr>
        <w:t xml:space="preserve"> </w:t>
      </w:r>
      <w:r w:rsidRPr="008312D6">
        <w:rPr>
          <w:rFonts w:ascii="Arial" w:hAnsi="Arial" w:cs="Arial"/>
        </w:rPr>
        <w:t xml:space="preserve">vehicle and/or </w:t>
      </w:r>
      <w:r w:rsidR="007E2AA8" w:rsidRPr="008312D6">
        <w:rPr>
          <w:rFonts w:ascii="Arial" w:hAnsi="Arial" w:cs="Arial"/>
        </w:rPr>
        <w:t>RSU (</w:t>
      </w:r>
      <w:proofErr w:type="gramStart"/>
      <w:r w:rsidRPr="008312D6">
        <w:rPr>
          <w:rFonts w:ascii="Arial" w:hAnsi="Arial" w:cs="Arial"/>
        </w:rPr>
        <w:t>Road Side</w:t>
      </w:r>
      <w:proofErr w:type="gramEnd"/>
      <w:r w:rsidRPr="008312D6">
        <w:rPr>
          <w:rFonts w:ascii="Arial" w:hAnsi="Arial" w:cs="Arial"/>
        </w:rPr>
        <w:t xml:space="preserve"> Unit) shares data obtained from its local sensors with vehicles in proximity, thus allowing vehicles to coordinate their trajectories or maneuvers. In addition, each vehicle shares its driving intention with vehicles in proximity. The benefits of this use case group are safer traveling, collision avoidance, and improved traffic efficiency.</w:t>
      </w:r>
    </w:p>
    <w:p w14:paraId="5B0004B2" w14:textId="77777777" w:rsidR="00963064" w:rsidRPr="009028D1" w:rsidRDefault="00963064" w:rsidP="00963064">
      <w:pPr>
        <w:autoSpaceDE w:val="0"/>
        <w:autoSpaceDN w:val="0"/>
        <w:adjustRightInd w:val="0"/>
        <w:spacing w:after="0" w:line="240" w:lineRule="auto"/>
        <w:rPr>
          <w:rFonts w:ascii="Arial" w:hAnsi="Arial" w:cs="Arial"/>
        </w:rPr>
      </w:pPr>
    </w:p>
    <w:p w14:paraId="2AC11135" w14:textId="77777777" w:rsidR="00963064" w:rsidRPr="00A00E67" w:rsidRDefault="008312D6" w:rsidP="00963064">
      <w:pPr>
        <w:autoSpaceDE w:val="0"/>
        <w:autoSpaceDN w:val="0"/>
        <w:adjustRightInd w:val="0"/>
        <w:spacing w:after="0" w:line="240" w:lineRule="auto"/>
        <w:rPr>
          <w:rFonts w:ascii="Arial" w:hAnsi="Arial" w:cs="Arial"/>
          <w:b/>
          <w:bCs/>
        </w:rPr>
      </w:pPr>
      <w:r w:rsidRPr="00A00E67">
        <w:rPr>
          <w:rFonts w:ascii="Arial" w:hAnsi="Arial" w:cs="Arial"/>
          <w:b/>
          <w:bCs/>
        </w:rPr>
        <w:t>- Extended Sensors</w:t>
      </w:r>
    </w:p>
    <w:p w14:paraId="4BBDF159" w14:textId="77777777" w:rsidR="00963064" w:rsidRPr="009028D1" w:rsidRDefault="008312D6" w:rsidP="00A00E67">
      <w:pPr>
        <w:autoSpaceDE w:val="0"/>
        <w:autoSpaceDN w:val="0"/>
        <w:adjustRightInd w:val="0"/>
        <w:spacing w:after="0" w:line="240" w:lineRule="auto"/>
        <w:jc w:val="both"/>
        <w:rPr>
          <w:rFonts w:ascii="Arial" w:hAnsi="Arial" w:cs="Arial"/>
        </w:rPr>
      </w:pPr>
      <w:r w:rsidRPr="008312D6">
        <w:rPr>
          <w:rFonts w:ascii="Arial" w:hAnsi="Arial" w:cs="Arial"/>
        </w:rPr>
        <w:t>Enables the exchange of raw or processed data gathered through local sensors or live video data</w:t>
      </w:r>
      <w:r w:rsidR="001F3745" w:rsidRPr="001F3745">
        <w:rPr>
          <w:rFonts w:ascii="Arial" w:hAnsi="Arial" w:cs="Arial"/>
        </w:rPr>
        <w:t xml:space="preserve"> </w:t>
      </w:r>
      <w:r w:rsidRPr="008312D6">
        <w:rPr>
          <w:rFonts w:ascii="Arial" w:hAnsi="Arial" w:cs="Arial"/>
        </w:rPr>
        <w:t>among vehicles, RSUs, devices of pedestrians and V2X application servers. The vehicles can enhance the perception of their environment beyond what their own sensors can detect and have a more holistic view of the local situation.</w:t>
      </w:r>
    </w:p>
    <w:p w14:paraId="50E0CE07" w14:textId="77777777" w:rsidR="00963064" w:rsidRPr="009028D1" w:rsidRDefault="00963064" w:rsidP="00963064">
      <w:pPr>
        <w:autoSpaceDE w:val="0"/>
        <w:autoSpaceDN w:val="0"/>
        <w:adjustRightInd w:val="0"/>
        <w:spacing w:after="0" w:line="240" w:lineRule="auto"/>
        <w:rPr>
          <w:rFonts w:ascii="Arial" w:hAnsi="Arial" w:cs="Arial"/>
        </w:rPr>
      </w:pPr>
    </w:p>
    <w:p w14:paraId="5B4CD58E" w14:textId="77777777" w:rsidR="00963064" w:rsidRPr="00A00E67" w:rsidRDefault="008312D6" w:rsidP="00963064">
      <w:pPr>
        <w:pStyle w:val="1"/>
        <w:spacing w:line="240" w:lineRule="auto"/>
        <w:jc w:val="both"/>
        <w:rPr>
          <w:rFonts w:eastAsiaTheme="minorHAnsi"/>
          <w:b/>
          <w:bCs/>
          <w:lang w:val="en-US" w:eastAsia="en-US"/>
        </w:rPr>
      </w:pPr>
      <w:r w:rsidRPr="00A00E67">
        <w:rPr>
          <w:rFonts w:eastAsiaTheme="minorHAnsi"/>
          <w:b/>
          <w:bCs/>
          <w:lang w:val="en-US" w:eastAsia="en-US"/>
        </w:rPr>
        <w:t>- Remote Driving</w:t>
      </w:r>
    </w:p>
    <w:p w14:paraId="2DA9A1D2" w14:textId="77777777" w:rsidR="00963064" w:rsidRPr="009028D1" w:rsidRDefault="008312D6" w:rsidP="00A00E67">
      <w:pPr>
        <w:autoSpaceDE w:val="0"/>
        <w:autoSpaceDN w:val="0"/>
        <w:adjustRightInd w:val="0"/>
        <w:spacing w:after="0" w:line="240" w:lineRule="auto"/>
        <w:jc w:val="both"/>
        <w:rPr>
          <w:rFonts w:ascii="Arial" w:hAnsi="Arial" w:cs="Arial"/>
        </w:rPr>
      </w:pPr>
      <w:r w:rsidRPr="008312D6">
        <w:rPr>
          <w:rFonts w:ascii="Arial" w:hAnsi="Arial" w:cs="Arial"/>
        </w:rPr>
        <w:t>Enables a remote driver or a V2X application to operate a remote vehicle for those passengers who</w:t>
      </w:r>
      <w:r w:rsidR="001F3745" w:rsidRPr="001F3745">
        <w:rPr>
          <w:rFonts w:ascii="Arial" w:hAnsi="Arial" w:cs="Arial"/>
        </w:rPr>
        <w:t xml:space="preserve"> </w:t>
      </w:r>
      <w:r w:rsidRPr="008312D6">
        <w:rPr>
          <w:rFonts w:ascii="Arial" w:hAnsi="Arial" w:cs="Arial"/>
        </w:rPr>
        <w:t>cannot drive themselves or a remote vehicle located in dangerous environments. For a case where variation is limited and routes are predictable, such as public transportation, driving based on cloud computing can be used. In addition, access to cloud-based back-end service platform can be considered for this use case group.</w:t>
      </w:r>
    </w:p>
    <w:p w14:paraId="5FB1CB15" w14:textId="77777777" w:rsidR="00963064" w:rsidRPr="009028D1" w:rsidRDefault="00963064" w:rsidP="00963064">
      <w:pPr>
        <w:autoSpaceDE w:val="0"/>
        <w:autoSpaceDN w:val="0"/>
        <w:adjustRightInd w:val="0"/>
        <w:spacing w:after="0" w:line="240" w:lineRule="auto"/>
        <w:rPr>
          <w:rFonts w:ascii="Arial" w:hAnsi="Arial" w:cs="Arial"/>
        </w:rPr>
      </w:pPr>
    </w:p>
    <w:p w14:paraId="42C8BDA5" w14:textId="77777777" w:rsidR="00963064" w:rsidRPr="00A00E67" w:rsidRDefault="008312D6" w:rsidP="00963064">
      <w:pPr>
        <w:pStyle w:val="1"/>
        <w:spacing w:line="240" w:lineRule="auto"/>
        <w:jc w:val="both"/>
        <w:rPr>
          <w:rFonts w:eastAsiaTheme="minorHAnsi"/>
          <w:b/>
          <w:bCs/>
          <w:lang w:val="en-US" w:eastAsia="en-US"/>
        </w:rPr>
      </w:pPr>
      <w:r w:rsidRPr="00A00E67">
        <w:rPr>
          <w:rFonts w:eastAsiaTheme="minorHAnsi"/>
          <w:b/>
          <w:bCs/>
          <w:lang w:val="en-US" w:eastAsia="en-US"/>
        </w:rPr>
        <w:t>- Vehicle quality of service Support</w:t>
      </w:r>
    </w:p>
    <w:p w14:paraId="2A2034B1" w14:textId="76A0DDF7" w:rsidR="00963064" w:rsidRPr="009028D1" w:rsidRDefault="008312D6" w:rsidP="00A00E67">
      <w:pPr>
        <w:autoSpaceDE w:val="0"/>
        <w:autoSpaceDN w:val="0"/>
        <w:adjustRightInd w:val="0"/>
        <w:spacing w:after="0" w:line="240" w:lineRule="auto"/>
        <w:jc w:val="both"/>
        <w:rPr>
          <w:rFonts w:ascii="Arial" w:hAnsi="Arial" w:cs="Arial"/>
        </w:rPr>
      </w:pPr>
      <w:r w:rsidRPr="008312D6">
        <w:rPr>
          <w:rFonts w:ascii="Arial" w:hAnsi="Arial" w:cs="Arial"/>
        </w:rPr>
        <w:t>Enables a V2X application to be timely notified of expected or estimated change of</w:t>
      </w:r>
      <w:r w:rsidR="007E2AA8">
        <w:rPr>
          <w:rFonts w:ascii="Arial" w:hAnsi="Arial" w:cs="Arial"/>
        </w:rPr>
        <w:t xml:space="preserve"> </w:t>
      </w:r>
      <w:r w:rsidRPr="008312D6">
        <w:rPr>
          <w:rFonts w:ascii="Arial" w:hAnsi="Arial" w:cs="Arial"/>
        </w:rPr>
        <w:t xml:space="preserve">quality of service before actual change occurs and to enable the 3GPP System to modify the quality of service in line with V2X application’s quality of service needs. </w:t>
      </w:r>
    </w:p>
    <w:p w14:paraId="3092244C" w14:textId="3E7A4E85" w:rsidR="00963064" w:rsidRPr="00AB46F9" w:rsidRDefault="00963064" w:rsidP="00873D8B">
      <w:pPr>
        <w:jc w:val="both"/>
        <w:rPr>
          <w:rFonts w:ascii="Arial" w:hAnsi="Arial" w:cs="Arial"/>
        </w:rPr>
      </w:pPr>
    </w:p>
    <w:p w14:paraId="75232BB7" w14:textId="3FA18264" w:rsidR="00365D39" w:rsidRDefault="00365D39" w:rsidP="00365D39">
      <w:pPr>
        <w:jc w:val="both"/>
        <w:rPr>
          <w:rFonts w:ascii="Arial" w:hAnsi="Arial" w:cs="Arial"/>
          <w:b/>
          <w:bCs/>
        </w:rPr>
      </w:pPr>
      <w:r w:rsidRPr="00AB46F9">
        <w:rPr>
          <w:rFonts w:ascii="Arial" w:hAnsi="Arial" w:cs="Arial"/>
          <w:b/>
          <w:bCs/>
        </w:rPr>
        <w:t xml:space="preserve">- </w:t>
      </w:r>
      <w:r>
        <w:rPr>
          <w:rFonts w:ascii="Arial" w:hAnsi="Arial" w:cs="Arial"/>
          <w:b/>
          <w:bCs/>
        </w:rPr>
        <w:t>Situation Awareness</w:t>
      </w:r>
    </w:p>
    <w:p w14:paraId="0C42556F" w14:textId="7A843053" w:rsidR="00902A9E" w:rsidRDefault="00902A9E" w:rsidP="00365D39">
      <w:pPr>
        <w:jc w:val="both"/>
        <w:rPr>
          <w:rFonts w:ascii="Arial" w:hAnsi="Arial" w:cs="Arial"/>
        </w:rPr>
      </w:pPr>
      <w:r>
        <w:rPr>
          <w:rFonts w:ascii="Arial" w:hAnsi="Arial" w:cs="Arial"/>
        </w:rPr>
        <w:t xml:space="preserve">Enables Back Situation Awareness for emergency vehicles public service (BSA). </w:t>
      </w:r>
    </w:p>
    <w:p w14:paraId="3C3EC84E" w14:textId="737370B9" w:rsidR="00902A9E" w:rsidRPr="00365D39" w:rsidRDefault="00902A9E" w:rsidP="00365D39">
      <w:pPr>
        <w:jc w:val="both"/>
        <w:rPr>
          <w:rFonts w:ascii="Arial" w:hAnsi="Arial" w:cs="Arial"/>
        </w:rPr>
      </w:pPr>
      <w:r>
        <w:rPr>
          <w:rFonts w:ascii="Arial" w:hAnsi="Arial" w:cs="Arial"/>
        </w:rPr>
        <w:t>Use of Vehicle sensors and state sharing (VSSS) creates in-advance awareness about adverse weather conditions or other detected hazards.</w:t>
      </w:r>
    </w:p>
    <w:p w14:paraId="718741B6" w14:textId="0AC1CBB4" w:rsidR="00F46FD6" w:rsidRDefault="00F46FD6" w:rsidP="00F46FD6">
      <w:pPr>
        <w:jc w:val="both"/>
        <w:rPr>
          <w:rFonts w:ascii="Arial" w:hAnsi="Arial" w:cs="Arial"/>
        </w:rPr>
      </w:pPr>
      <w:r w:rsidRPr="00F46FD6">
        <w:rPr>
          <w:rFonts w:ascii="Arial" w:hAnsi="Arial" w:cs="Arial"/>
          <w:b/>
          <w:bCs/>
        </w:rPr>
        <w:t>The implementation of smart driving will reduce car accidents and human losses</w:t>
      </w:r>
      <w:r>
        <w:rPr>
          <w:rFonts w:ascii="Arial" w:hAnsi="Arial" w:cs="Arial"/>
        </w:rPr>
        <w:t xml:space="preserve">. </w:t>
      </w:r>
      <w:r w:rsidRPr="00F46FD6">
        <w:rPr>
          <w:rFonts w:ascii="Arial" w:hAnsi="Arial" w:cs="Arial"/>
        </w:rPr>
        <w:t xml:space="preserve">With 5G the data will be reliable enough for vehicles to receive details about upcoming speed restrictions and adjust their speed accordingly while the next step would be their fully automated course. For example, through a pop-up window on the dashboard, the driver is notified that for the next 100 km there is strong signal </w:t>
      </w:r>
      <w:proofErr w:type="gramStart"/>
      <w:r w:rsidRPr="00F46FD6">
        <w:rPr>
          <w:rFonts w:ascii="Arial" w:hAnsi="Arial" w:cs="Arial"/>
        </w:rPr>
        <w:t>coverage</w:t>
      </w:r>
      <w:proofErr w:type="gramEnd"/>
      <w:r w:rsidRPr="00F46FD6">
        <w:rPr>
          <w:rFonts w:ascii="Arial" w:hAnsi="Arial" w:cs="Arial"/>
        </w:rPr>
        <w:t xml:space="preserve"> and an external service provider can safely take control of the car. In essence, the driver will be able to rest while the car is remotely controlled. An on-board computer can combine vehicle data with that of other vehicles to create its own real-time direct environment map and check whether other vehicles (including those not visible to the driver) are on a possible collision course. The vehicles involved can then receive a specific command such as braking or acceleration to prevent a </w:t>
      </w:r>
      <w:r w:rsidR="001F3745" w:rsidRPr="00F46FD6">
        <w:rPr>
          <w:rFonts w:ascii="Arial" w:hAnsi="Arial" w:cs="Arial"/>
        </w:rPr>
        <w:t>collisio</w:t>
      </w:r>
      <w:r w:rsidR="001F3745">
        <w:rPr>
          <w:rFonts w:ascii="Arial" w:hAnsi="Arial" w:cs="Arial"/>
        </w:rPr>
        <w:t>n.</w:t>
      </w:r>
      <w:r w:rsidR="001F3745" w:rsidRPr="00F46FD6">
        <w:rPr>
          <w:rFonts w:ascii="Arial" w:hAnsi="Arial" w:cs="Arial"/>
        </w:rPr>
        <w:t xml:space="preserve"> In</w:t>
      </w:r>
      <w:r w:rsidRPr="00F46FD6">
        <w:rPr>
          <w:rFonts w:ascii="Arial" w:hAnsi="Arial" w:cs="Arial"/>
        </w:rPr>
        <w:t xml:space="preserve"> Greece</w:t>
      </w:r>
      <w:r w:rsidR="00716977">
        <w:rPr>
          <w:rStyle w:val="FootnoteReference"/>
          <w:rFonts w:ascii="Arial" w:hAnsi="Arial" w:cs="Arial"/>
        </w:rPr>
        <w:footnoteReference w:id="4"/>
      </w:r>
      <w:r w:rsidRPr="00F46FD6">
        <w:rPr>
          <w:rFonts w:ascii="Arial" w:hAnsi="Arial" w:cs="Arial"/>
        </w:rPr>
        <w:t xml:space="preserve"> in 2018 there </w:t>
      </w:r>
      <w:r w:rsidR="006F2B1A">
        <w:rPr>
          <w:rFonts w:ascii="Arial" w:hAnsi="Arial" w:cs="Arial"/>
        </w:rPr>
        <w:t>were</w:t>
      </w:r>
      <w:r w:rsidRPr="00F46FD6">
        <w:rPr>
          <w:rFonts w:ascii="Arial" w:hAnsi="Arial" w:cs="Arial"/>
        </w:rPr>
        <w:t>10</w:t>
      </w:r>
      <w:r w:rsidR="00FF4299">
        <w:rPr>
          <w:rFonts w:ascii="Arial" w:hAnsi="Arial" w:cs="Arial"/>
        </w:rPr>
        <w:t>,</w:t>
      </w:r>
      <w:r w:rsidR="00FF4299" w:rsidRPr="00F46FD6">
        <w:rPr>
          <w:rFonts w:ascii="Arial" w:hAnsi="Arial" w:cs="Arial"/>
        </w:rPr>
        <w:t>737</w:t>
      </w:r>
      <w:r w:rsidRPr="00F46FD6">
        <w:rPr>
          <w:rFonts w:ascii="Arial" w:hAnsi="Arial" w:cs="Arial"/>
        </w:rPr>
        <w:t xml:space="preserve"> road accidents with a total of 700 fatalities, </w:t>
      </w:r>
      <w:r w:rsidR="007E2AA8" w:rsidRPr="00F46FD6">
        <w:rPr>
          <w:rFonts w:ascii="Arial" w:hAnsi="Arial" w:cs="Arial"/>
        </w:rPr>
        <w:t>i.e.,</w:t>
      </w:r>
      <w:r w:rsidRPr="00F46FD6">
        <w:rPr>
          <w:rFonts w:ascii="Arial" w:hAnsi="Arial" w:cs="Arial"/>
        </w:rPr>
        <w:t xml:space="preserve"> a rate of 6.5%, and the total number of injured exceeds 13,000. In fact, in the four years 2015 to 2018 the average number of accident deaths in </w:t>
      </w:r>
      <w:r w:rsidR="006F2B1A">
        <w:rPr>
          <w:rFonts w:ascii="Arial" w:hAnsi="Arial" w:cs="Arial"/>
        </w:rPr>
        <w:t>Greece</w:t>
      </w:r>
      <w:r w:rsidR="001F3745" w:rsidRPr="001F3745">
        <w:rPr>
          <w:rFonts w:ascii="Arial" w:hAnsi="Arial" w:cs="Arial"/>
        </w:rPr>
        <w:t xml:space="preserve"> </w:t>
      </w:r>
      <w:r w:rsidRPr="00F46FD6">
        <w:rPr>
          <w:rFonts w:ascii="Arial" w:hAnsi="Arial" w:cs="Arial"/>
        </w:rPr>
        <w:t xml:space="preserve">is 762 people a year while the total injuries involved in a car accident amount to an average of </w:t>
      </w:r>
      <w:r w:rsidRPr="00F46FD6">
        <w:rPr>
          <w:rFonts w:ascii="Arial" w:hAnsi="Arial" w:cs="Arial"/>
        </w:rPr>
        <w:lastRenderedPageBreak/>
        <w:t>14,347. For example, based on studies</w:t>
      </w:r>
      <w:r w:rsidR="00716977">
        <w:rPr>
          <w:rStyle w:val="FootnoteReference"/>
          <w:rFonts w:ascii="Arial" w:hAnsi="Arial" w:cs="Arial"/>
        </w:rPr>
        <w:footnoteReference w:id="5"/>
      </w:r>
      <w:r w:rsidRPr="00F46FD6">
        <w:rPr>
          <w:rFonts w:ascii="Arial" w:hAnsi="Arial" w:cs="Arial"/>
        </w:rPr>
        <w:t>, use of V2X technology would mean at least 520 fewer lost human lives.</w:t>
      </w:r>
    </w:p>
    <w:p w14:paraId="6CF0D59B" w14:textId="77777777" w:rsidR="00FC0086" w:rsidRDefault="00F46FD6" w:rsidP="00F46FD6">
      <w:pPr>
        <w:jc w:val="both"/>
        <w:rPr>
          <w:rFonts w:ascii="Arial" w:hAnsi="Arial" w:cs="Arial"/>
        </w:rPr>
      </w:pPr>
      <w:r w:rsidRPr="00F46FD6">
        <w:rPr>
          <w:rFonts w:ascii="Arial" w:hAnsi="Arial" w:cs="Arial"/>
          <w:b/>
          <w:bCs/>
        </w:rPr>
        <w:t>Moreover, with smart driving it is foreseen that road transport will be improved in time, cost and CO</w:t>
      </w:r>
      <w:r w:rsidRPr="001F3745">
        <w:rPr>
          <w:rFonts w:ascii="Arial" w:hAnsi="Arial" w:cs="Arial"/>
          <w:b/>
          <w:bCs/>
          <w:vertAlign w:val="superscript"/>
        </w:rPr>
        <w:t>2</w:t>
      </w:r>
      <w:r w:rsidRPr="00F46FD6">
        <w:rPr>
          <w:rFonts w:ascii="Arial" w:hAnsi="Arial" w:cs="Arial"/>
          <w:b/>
          <w:bCs/>
        </w:rPr>
        <w:t xml:space="preserve"> emissions improving the environmental footprint of transport.</w:t>
      </w:r>
      <w:r w:rsidR="001F3745" w:rsidRPr="001F3745">
        <w:rPr>
          <w:rFonts w:ascii="Arial" w:hAnsi="Arial" w:cs="Arial"/>
          <w:b/>
          <w:bCs/>
        </w:rPr>
        <w:t xml:space="preserve"> </w:t>
      </w:r>
      <w:r w:rsidRPr="00F46FD6">
        <w:rPr>
          <w:rFonts w:ascii="Arial" w:hAnsi="Arial" w:cs="Arial"/>
        </w:rPr>
        <w:t>Driving in an array can allow trucks to drive closer to reduce wind resistance, achieving a reduction in fuel consumption and CO</w:t>
      </w:r>
      <w:r w:rsidRPr="001F3745">
        <w:rPr>
          <w:rFonts w:ascii="Arial" w:hAnsi="Arial" w:cs="Arial"/>
          <w:vertAlign w:val="superscript"/>
        </w:rPr>
        <w:t>2</w:t>
      </w:r>
      <w:r w:rsidRPr="00F46FD6">
        <w:rPr>
          <w:rFonts w:ascii="Arial" w:hAnsi="Arial" w:cs="Arial"/>
        </w:rPr>
        <w:t xml:space="preserve"> emissions. It has been shown that an array of three trucks, which is moving at a speed of 80 </w:t>
      </w:r>
      <w:r w:rsidR="00511E52">
        <w:rPr>
          <w:rFonts w:ascii="Arial" w:hAnsi="Arial" w:cs="Arial"/>
        </w:rPr>
        <w:t>km/h</w:t>
      </w:r>
      <w:r w:rsidR="00E76F64">
        <w:rPr>
          <w:rFonts w:ascii="Arial" w:hAnsi="Arial" w:cs="Arial"/>
        </w:rPr>
        <w:t>,</w:t>
      </w:r>
      <w:r w:rsidRPr="00F46FD6">
        <w:rPr>
          <w:rFonts w:ascii="Arial" w:hAnsi="Arial" w:cs="Arial"/>
        </w:rPr>
        <w:t xml:space="preserve"> 4 meters between vehicles, consumes 15% less fuel. If the distance between trucks is reduced to 2 meters, then fuel consumption is reduced by 25% for the same speed. Reducing the distance between vehicles can also increase road traffic capacity, mitigating congestion and CO</w:t>
      </w:r>
      <w:r w:rsidRPr="001F3745">
        <w:rPr>
          <w:rFonts w:ascii="Arial" w:hAnsi="Arial" w:cs="Arial"/>
          <w:vertAlign w:val="superscript"/>
        </w:rPr>
        <w:t>2</w:t>
      </w:r>
      <w:r w:rsidRPr="00F46FD6">
        <w:rPr>
          <w:rFonts w:ascii="Arial" w:hAnsi="Arial" w:cs="Arial"/>
        </w:rPr>
        <w:t xml:space="preserve"> emissions</w:t>
      </w:r>
      <w:r w:rsidR="00E76F64">
        <w:rPr>
          <w:rStyle w:val="FootnoteReference"/>
          <w:rFonts w:ascii="Arial" w:hAnsi="Arial" w:cs="Arial"/>
        </w:rPr>
        <w:footnoteReference w:id="6"/>
      </w:r>
      <w:r w:rsidRPr="00F46FD6">
        <w:rPr>
          <w:rFonts w:ascii="Arial" w:hAnsi="Arial" w:cs="Arial"/>
        </w:rPr>
        <w:t>.</w:t>
      </w:r>
    </w:p>
    <w:p w14:paraId="6E3F8A20" w14:textId="77777777" w:rsidR="00F46FD6" w:rsidRPr="00FF4299" w:rsidRDefault="001F3745" w:rsidP="00F46FD6">
      <w:pPr>
        <w:jc w:val="both"/>
        <w:rPr>
          <w:rFonts w:ascii="Arial" w:hAnsi="Arial" w:cs="Arial"/>
        </w:rPr>
      </w:pPr>
      <w:r>
        <w:rPr>
          <w:rFonts w:ascii="Arial" w:hAnsi="Arial" w:cs="Arial"/>
          <w:b/>
          <w:bCs/>
        </w:rPr>
        <w:t>Final</w:t>
      </w:r>
      <w:r w:rsidRPr="001F3745">
        <w:rPr>
          <w:rFonts w:ascii="Arial" w:hAnsi="Arial" w:cs="Arial"/>
          <w:b/>
          <w:bCs/>
        </w:rPr>
        <w:t xml:space="preserve"> </w:t>
      </w:r>
      <w:r w:rsidR="00F46FD6" w:rsidRPr="00F46FD6">
        <w:rPr>
          <w:rFonts w:ascii="Arial" w:hAnsi="Arial" w:cs="Arial"/>
          <w:b/>
          <w:bCs/>
        </w:rPr>
        <w:t>new sources of revenue from Connected and Automated Mobility services</w:t>
      </w:r>
      <w:r w:rsidR="00794DB4">
        <w:rPr>
          <w:rFonts w:ascii="Arial" w:hAnsi="Arial" w:cs="Arial"/>
          <w:b/>
          <w:bCs/>
        </w:rPr>
        <w:t xml:space="preserve"> (CAM)</w:t>
      </w:r>
      <w:r w:rsidR="00511E52">
        <w:rPr>
          <w:rFonts w:ascii="Arial" w:hAnsi="Arial" w:cs="Arial"/>
          <w:b/>
          <w:bCs/>
        </w:rPr>
        <w:t xml:space="preserve"> are expected</w:t>
      </w:r>
      <w:r w:rsidR="00F46FD6">
        <w:rPr>
          <w:rFonts w:ascii="Arial" w:hAnsi="Arial" w:cs="Arial"/>
          <w:b/>
          <w:bCs/>
        </w:rPr>
        <w:t xml:space="preserve">. </w:t>
      </w:r>
      <w:r w:rsidR="00F46FD6" w:rsidRPr="00F46FD6">
        <w:rPr>
          <w:rFonts w:ascii="Arial" w:hAnsi="Arial" w:cs="Arial"/>
        </w:rPr>
        <w:t xml:space="preserve">The development of 5G networks supporting autonomous vehicle traffic on motorways will lead to the emergence of new business models and revenue sources. The main roles of </w:t>
      </w:r>
      <w:r>
        <w:rPr>
          <w:rFonts w:ascii="Arial" w:hAnsi="Arial" w:cs="Arial"/>
        </w:rPr>
        <w:t>relevant</w:t>
      </w:r>
      <w:r w:rsidRPr="00F46FD6">
        <w:rPr>
          <w:rFonts w:ascii="Arial" w:hAnsi="Arial" w:cs="Arial"/>
        </w:rPr>
        <w:t xml:space="preserve"> business</w:t>
      </w:r>
      <w:r w:rsidR="00F46FD6" w:rsidRPr="00F46FD6">
        <w:rPr>
          <w:rFonts w:ascii="Arial" w:hAnsi="Arial" w:cs="Arial"/>
        </w:rPr>
        <w:t xml:space="preserve"> model</w:t>
      </w:r>
      <w:r w:rsidR="00511E52">
        <w:rPr>
          <w:rFonts w:ascii="Arial" w:hAnsi="Arial" w:cs="Arial"/>
        </w:rPr>
        <w:t>s</w:t>
      </w:r>
      <w:r w:rsidR="00F46FD6" w:rsidRPr="00F46FD6">
        <w:rPr>
          <w:rFonts w:ascii="Arial" w:hAnsi="Arial" w:cs="Arial"/>
        </w:rPr>
        <w:t xml:space="preserve"> include end-users, CAM service providers, network provider, and motorway operator. End users will be required to pay a CAM user fee to their respective providers, part of which is attributed to the network provider (end of use of a data connectivity service). </w:t>
      </w:r>
    </w:p>
    <w:p w14:paraId="16A2E058" w14:textId="77777777" w:rsidR="004C78AF" w:rsidRPr="00A01DA1" w:rsidRDefault="004C78AF" w:rsidP="00EC4D14">
      <w:pPr>
        <w:pStyle w:val="NormalWeb"/>
        <w:rPr>
          <w:rFonts w:ascii="Arial" w:hAnsi="Arial" w:cs="Arial"/>
          <w:color w:val="000000"/>
          <w:sz w:val="22"/>
          <w:szCs w:val="22"/>
        </w:rPr>
      </w:pPr>
    </w:p>
    <w:p w14:paraId="0185470C" w14:textId="77777777" w:rsidR="0016571E" w:rsidRPr="00FF3F2B" w:rsidRDefault="009028D1" w:rsidP="004C78AF">
      <w:pPr>
        <w:pStyle w:val="NormalWeb"/>
        <w:rPr>
          <w:rFonts w:ascii="Arial" w:eastAsiaTheme="minorHAnsi" w:hAnsi="Arial" w:cs="Arial"/>
          <w:b/>
          <w:sz w:val="22"/>
          <w:szCs w:val="22"/>
        </w:rPr>
      </w:pPr>
      <w:r w:rsidRPr="00FF3F2B">
        <w:rPr>
          <w:rFonts w:ascii="Arial" w:eastAsiaTheme="minorHAnsi" w:hAnsi="Arial" w:cs="Arial"/>
          <w:b/>
          <w:sz w:val="22"/>
          <w:szCs w:val="22"/>
        </w:rPr>
        <w:t>Questions</w:t>
      </w:r>
    </w:p>
    <w:p w14:paraId="710337E0" w14:textId="77777777" w:rsidR="0016571E" w:rsidRPr="00EC4D14" w:rsidRDefault="0016571E" w:rsidP="007552CF">
      <w:pPr>
        <w:pStyle w:val="Default"/>
        <w:numPr>
          <w:ilvl w:val="0"/>
          <w:numId w:val="3"/>
        </w:numPr>
        <w:ind w:left="284" w:hanging="284"/>
        <w:jc w:val="both"/>
        <w:rPr>
          <w:rFonts w:ascii="Arial" w:hAnsi="Arial" w:cs="Arial"/>
          <w:color w:val="auto"/>
          <w:sz w:val="22"/>
          <w:szCs w:val="22"/>
          <w:lang w:val="en-US"/>
        </w:rPr>
      </w:pPr>
      <w:r w:rsidRPr="00EC4D14">
        <w:rPr>
          <w:rFonts w:ascii="Arial" w:hAnsi="Arial" w:cs="Arial"/>
          <w:color w:val="auto"/>
          <w:sz w:val="22"/>
          <w:szCs w:val="22"/>
          <w:lang w:val="en-US"/>
        </w:rPr>
        <w:t>Are you interested in deploying 5G network to provide CAM services?</w:t>
      </w:r>
    </w:p>
    <w:p w14:paraId="23838623" w14:textId="77777777" w:rsidR="0016571E" w:rsidRPr="00EC4D14" w:rsidRDefault="0016571E" w:rsidP="007552CF">
      <w:pPr>
        <w:pStyle w:val="Default"/>
        <w:numPr>
          <w:ilvl w:val="0"/>
          <w:numId w:val="3"/>
        </w:numPr>
        <w:ind w:left="284" w:hanging="284"/>
        <w:jc w:val="both"/>
        <w:rPr>
          <w:rFonts w:ascii="Arial" w:hAnsi="Arial" w:cs="Arial"/>
          <w:color w:val="auto"/>
          <w:sz w:val="22"/>
          <w:szCs w:val="22"/>
          <w:lang w:val="en-US"/>
        </w:rPr>
      </w:pPr>
      <w:r w:rsidRPr="00EC4D14">
        <w:rPr>
          <w:rFonts w:ascii="Arial" w:hAnsi="Arial" w:cs="Arial"/>
          <w:color w:val="auto"/>
          <w:sz w:val="22"/>
          <w:szCs w:val="22"/>
          <w:lang w:val="en-US"/>
        </w:rPr>
        <w:t xml:space="preserve">What is the roll-out cost of a 5G network serving </w:t>
      </w:r>
      <w:bookmarkStart w:id="0" w:name="_Hlk63026476"/>
      <w:r w:rsidRPr="00EC4D14">
        <w:rPr>
          <w:rFonts w:ascii="Arial" w:hAnsi="Arial" w:cs="Arial"/>
          <w:color w:val="auto"/>
          <w:sz w:val="22"/>
          <w:szCs w:val="22"/>
          <w:lang w:val="en-US"/>
        </w:rPr>
        <w:t xml:space="preserve">the </w:t>
      </w:r>
      <w:r w:rsidR="00BF1FBF" w:rsidRPr="00EC4D14">
        <w:rPr>
          <w:rFonts w:ascii="Arial" w:hAnsi="Arial" w:cs="Arial"/>
          <w:color w:val="auto"/>
          <w:sz w:val="22"/>
          <w:szCs w:val="22"/>
          <w:lang w:val="en-US"/>
        </w:rPr>
        <w:t xml:space="preserve">abovementioned </w:t>
      </w:r>
      <w:r w:rsidRPr="00EC4D14">
        <w:rPr>
          <w:rFonts w:ascii="Arial" w:hAnsi="Arial" w:cs="Arial"/>
          <w:color w:val="auto"/>
          <w:sz w:val="22"/>
          <w:szCs w:val="22"/>
          <w:lang w:val="en-US"/>
        </w:rPr>
        <w:t xml:space="preserve">CAM use cases </w:t>
      </w:r>
      <w:bookmarkEnd w:id="0"/>
      <w:r w:rsidRPr="00EC4D14">
        <w:rPr>
          <w:rFonts w:ascii="Arial" w:hAnsi="Arial" w:cs="Arial"/>
          <w:color w:val="auto"/>
          <w:sz w:val="22"/>
          <w:szCs w:val="22"/>
          <w:lang w:val="en-US"/>
        </w:rPr>
        <w:t xml:space="preserve">covering the highways of table 1?  Please specify the technical specifications </w:t>
      </w:r>
      <w:r w:rsidR="00520CD5" w:rsidRPr="00EC4D14">
        <w:rPr>
          <w:rFonts w:ascii="Arial" w:hAnsi="Arial" w:cs="Arial"/>
          <w:color w:val="auto"/>
          <w:sz w:val="22"/>
          <w:szCs w:val="22"/>
          <w:lang w:val="en-US"/>
        </w:rPr>
        <w:t>for each use case.</w:t>
      </w:r>
    </w:p>
    <w:p w14:paraId="07BDB22D" w14:textId="47B06A85" w:rsidR="0016571E" w:rsidRDefault="0016571E" w:rsidP="007552CF">
      <w:pPr>
        <w:pStyle w:val="Default"/>
        <w:numPr>
          <w:ilvl w:val="0"/>
          <w:numId w:val="3"/>
        </w:numPr>
        <w:ind w:left="284" w:hanging="284"/>
        <w:jc w:val="both"/>
        <w:rPr>
          <w:rFonts w:ascii="Arial" w:hAnsi="Arial" w:cs="Arial"/>
          <w:color w:val="auto"/>
          <w:sz w:val="22"/>
          <w:szCs w:val="22"/>
          <w:lang w:val="en-US"/>
        </w:rPr>
      </w:pPr>
      <w:r w:rsidRPr="00EC4D14">
        <w:rPr>
          <w:rFonts w:ascii="Arial" w:hAnsi="Arial" w:cs="Arial"/>
          <w:color w:val="auto"/>
          <w:sz w:val="22"/>
          <w:szCs w:val="22"/>
          <w:lang w:val="en-US"/>
        </w:rPr>
        <w:t>What do you believe will be the most effective 5G infrastructure deployment scenario CAM services? (</w:t>
      </w:r>
      <w:r w:rsidR="007E2AA8" w:rsidRPr="00EC4D14">
        <w:rPr>
          <w:rFonts w:ascii="Arial" w:hAnsi="Arial" w:cs="Arial"/>
          <w:color w:val="auto"/>
          <w:sz w:val="22"/>
          <w:szCs w:val="22"/>
          <w:lang w:val="en-US"/>
        </w:rPr>
        <w:t>e.g.,</w:t>
      </w:r>
      <w:r w:rsidRPr="00EC4D14">
        <w:rPr>
          <w:rFonts w:ascii="Arial" w:hAnsi="Arial" w:cs="Arial"/>
          <w:color w:val="auto"/>
          <w:sz w:val="22"/>
          <w:szCs w:val="22"/>
          <w:lang w:val="en-US"/>
        </w:rPr>
        <w:t xml:space="preserve"> participation of road operators, a joint MNOs venture, passive/active </w:t>
      </w:r>
      <w:proofErr w:type="gramStart"/>
      <w:r w:rsidRPr="00EC4D14">
        <w:rPr>
          <w:rFonts w:ascii="Arial" w:hAnsi="Arial" w:cs="Arial"/>
          <w:color w:val="auto"/>
          <w:sz w:val="22"/>
          <w:szCs w:val="22"/>
          <w:lang w:val="en-US"/>
        </w:rPr>
        <w:t>sharing</w:t>
      </w:r>
      <w:proofErr w:type="gramEnd"/>
      <w:r w:rsidRPr="00EC4D14">
        <w:rPr>
          <w:rFonts w:ascii="Arial" w:hAnsi="Arial" w:cs="Arial"/>
          <w:color w:val="auto"/>
          <w:sz w:val="22"/>
          <w:szCs w:val="22"/>
          <w:lang w:val="en-US"/>
        </w:rPr>
        <w:t xml:space="preserve"> or third-party infrastructure providers) </w:t>
      </w:r>
    </w:p>
    <w:p w14:paraId="13692A70" w14:textId="77777777" w:rsidR="00481834" w:rsidRPr="00EC4D14" w:rsidRDefault="00481834" w:rsidP="007552CF">
      <w:pPr>
        <w:pStyle w:val="Default"/>
        <w:numPr>
          <w:ilvl w:val="0"/>
          <w:numId w:val="3"/>
        </w:numPr>
        <w:ind w:left="284" w:hanging="284"/>
        <w:jc w:val="both"/>
        <w:rPr>
          <w:rFonts w:ascii="Arial" w:hAnsi="Arial" w:cs="Arial"/>
          <w:color w:val="auto"/>
          <w:sz w:val="22"/>
          <w:szCs w:val="22"/>
          <w:lang w:val="en-US"/>
        </w:rPr>
      </w:pPr>
      <w:r>
        <w:rPr>
          <w:rFonts w:ascii="Arial" w:hAnsi="Arial" w:cs="Arial"/>
          <w:color w:val="auto"/>
          <w:sz w:val="22"/>
          <w:szCs w:val="22"/>
          <w:lang w:val="en-US"/>
        </w:rPr>
        <w:t xml:space="preserve">What </w:t>
      </w:r>
      <w:r w:rsidR="00B148B5">
        <w:rPr>
          <w:rFonts w:ascii="Arial" w:hAnsi="Arial" w:cs="Arial"/>
          <w:color w:val="auto"/>
          <w:sz w:val="22"/>
          <w:szCs w:val="22"/>
          <w:lang w:val="en-US"/>
        </w:rPr>
        <w:t xml:space="preserve">are the possible </w:t>
      </w:r>
      <w:r>
        <w:rPr>
          <w:rFonts w:ascii="Arial" w:hAnsi="Arial" w:cs="Arial"/>
          <w:color w:val="auto"/>
          <w:sz w:val="22"/>
          <w:szCs w:val="22"/>
          <w:lang w:val="en-US"/>
        </w:rPr>
        <w:t xml:space="preserve">investment and business models </w:t>
      </w:r>
      <w:r w:rsidR="005F2C54">
        <w:rPr>
          <w:rFonts w:ascii="Arial" w:hAnsi="Arial" w:cs="Arial"/>
          <w:color w:val="auto"/>
          <w:sz w:val="22"/>
          <w:szCs w:val="22"/>
          <w:lang w:val="en-US"/>
        </w:rPr>
        <w:t xml:space="preserve">(revenues, payback period) </w:t>
      </w:r>
      <w:r>
        <w:rPr>
          <w:rFonts w:ascii="Arial" w:hAnsi="Arial" w:cs="Arial"/>
          <w:color w:val="auto"/>
          <w:sz w:val="22"/>
          <w:szCs w:val="22"/>
          <w:lang w:val="en-US"/>
        </w:rPr>
        <w:t xml:space="preserve">for CAM services </w:t>
      </w:r>
      <w:r w:rsidR="00B148B5">
        <w:rPr>
          <w:rFonts w:ascii="Arial" w:hAnsi="Arial" w:cs="Arial"/>
          <w:color w:val="auto"/>
          <w:sz w:val="22"/>
          <w:szCs w:val="22"/>
          <w:lang w:val="en-US"/>
        </w:rPr>
        <w:t>in Greece</w:t>
      </w:r>
      <w:r>
        <w:rPr>
          <w:rFonts w:ascii="Arial" w:hAnsi="Arial" w:cs="Arial"/>
          <w:color w:val="auto"/>
          <w:sz w:val="22"/>
          <w:szCs w:val="22"/>
          <w:lang w:val="en-US"/>
        </w:rPr>
        <w:t>?</w:t>
      </w:r>
    </w:p>
    <w:p w14:paraId="448DC61B" w14:textId="55F34EA4" w:rsidR="0016571E" w:rsidRDefault="0016571E" w:rsidP="007552CF">
      <w:pPr>
        <w:pStyle w:val="Default"/>
        <w:numPr>
          <w:ilvl w:val="0"/>
          <w:numId w:val="3"/>
        </w:numPr>
        <w:ind w:left="284" w:hanging="284"/>
        <w:jc w:val="both"/>
        <w:rPr>
          <w:rFonts w:ascii="Arial" w:hAnsi="Arial" w:cs="Arial"/>
          <w:color w:val="auto"/>
          <w:sz w:val="22"/>
          <w:szCs w:val="22"/>
          <w:lang w:val="en-US"/>
        </w:rPr>
      </w:pPr>
      <w:r w:rsidRPr="00EC4D14">
        <w:rPr>
          <w:rFonts w:ascii="Arial" w:hAnsi="Arial" w:cs="Arial"/>
          <w:color w:val="auto"/>
          <w:sz w:val="22"/>
          <w:szCs w:val="22"/>
          <w:lang w:val="en-US"/>
        </w:rPr>
        <w:t xml:space="preserve">Do you believe that the state should be involved in the project of 5G network deployment </w:t>
      </w:r>
      <w:r w:rsidR="00BF1FBF" w:rsidRPr="00EC4D14">
        <w:rPr>
          <w:rFonts w:ascii="Arial" w:hAnsi="Arial" w:cs="Arial"/>
          <w:color w:val="auto"/>
          <w:sz w:val="22"/>
          <w:szCs w:val="22"/>
          <w:lang w:val="en-US"/>
        </w:rPr>
        <w:t>for CAM</w:t>
      </w:r>
      <w:r w:rsidR="00FF4299">
        <w:rPr>
          <w:rFonts w:ascii="Arial" w:hAnsi="Arial" w:cs="Arial"/>
          <w:color w:val="auto"/>
          <w:sz w:val="22"/>
          <w:szCs w:val="22"/>
          <w:lang w:val="en-US"/>
        </w:rPr>
        <w:t xml:space="preserve"> </w:t>
      </w:r>
      <w:r w:rsidR="00BF1FBF" w:rsidRPr="00EC4D14">
        <w:rPr>
          <w:rFonts w:ascii="Arial" w:hAnsi="Arial" w:cs="Arial"/>
          <w:color w:val="auto"/>
          <w:sz w:val="22"/>
          <w:szCs w:val="22"/>
          <w:lang w:val="en-US"/>
        </w:rPr>
        <w:t>services</w:t>
      </w:r>
      <w:r w:rsidR="00477CF2">
        <w:rPr>
          <w:rFonts w:ascii="Arial" w:hAnsi="Arial" w:cs="Arial"/>
          <w:color w:val="auto"/>
          <w:sz w:val="22"/>
          <w:szCs w:val="22"/>
          <w:lang w:val="en-US"/>
        </w:rPr>
        <w:t xml:space="preserve"> (</w:t>
      </w:r>
      <w:r w:rsidR="007E2AA8">
        <w:rPr>
          <w:rFonts w:ascii="Arial" w:hAnsi="Arial" w:cs="Arial"/>
          <w:color w:val="auto"/>
          <w:sz w:val="22"/>
          <w:szCs w:val="22"/>
          <w:lang w:val="en-US"/>
        </w:rPr>
        <w:t>e.g.,</w:t>
      </w:r>
      <w:r w:rsidR="00477CF2">
        <w:rPr>
          <w:rFonts w:ascii="Arial" w:hAnsi="Arial" w:cs="Arial"/>
          <w:color w:val="auto"/>
          <w:sz w:val="22"/>
          <w:szCs w:val="22"/>
          <w:lang w:val="en-US"/>
        </w:rPr>
        <w:t xml:space="preserve"> through a Public Private Partnership)</w:t>
      </w:r>
      <w:r w:rsidR="00BF1FBF" w:rsidRPr="00EC4D14">
        <w:rPr>
          <w:rFonts w:ascii="Arial" w:hAnsi="Arial" w:cs="Arial"/>
          <w:color w:val="auto"/>
          <w:sz w:val="22"/>
          <w:szCs w:val="22"/>
          <w:lang w:val="en-US"/>
        </w:rPr>
        <w:t>?</w:t>
      </w:r>
      <w:r w:rsidRPr="00EC4D14">
        <w:rPr>
          <w:rFonts w:ascii="Arial" w:hAnsi="Arial" w:cs="Arial"/>
          <w:color w:val="auto"/>
          <w:sz w:val="22"/>
          <w:szCs w:val="22"/>
          <w:lang w:val="en-US"/>
        </w:rPr>
        <w:t xml:space="preserve">  If yes, please specify the collaboration</w:t>
      </w:r>
      <w:r w:rsidR="00C4449A">
        <w:rPr>
          <w:rFonts w:ascii="Arial" w:hAnsi="Arial" w:cs="Arial"/>
          <w:color w:val="auto"/>
          <w:sz w:val="22"/>
          <w:szCs w:val="22"/>
          <w:lang w:val="en-US"/>
        </w:rPr>
        <w:t xml:space="preserve"> </w:t>
      </w:r>
      <w:r w:rsidR="00FF4299">
        <w:rPr>
          <w:rFonts w:ascii="Arial" w:hAnsi="Arial" w:cs="Arial"/>
          <w:color w:val="auto"/>
          <w:sz w:val="22"/>
          <w:szCs w:val="22"/>
          <w:lang w:val="en-US"/>
        </w:rPr>
        <w:t>model</w:t>
      </w:r>
      <w:r w:rsidR="00D60142">
        <w:rPr>
          <w:rFonts w:ascii="Arial" w:hAnsi="Arial" w:cs="Arial"/>
          <w:color w:val="auto"/>
          <w:sz w:val="22"/>
          <w:szCs w:val="22"/>
          <w:lang w:val="en-US"/>
        </w:rPr>
        <w:t>, contract duration</w:t>
      </w:r>
      <w:r w:rsidRPr="00EC4D14">
        <w:rPr>
          <w:rFonts w:ascii="Arial" w:hAnsi="Arial" w:cs="Arial"/>
          <w:color w:val="auto"/>
          <w:sz w:val="22"/>
          <w:szCs w:val="22"/>
          <w:lang w:val="en-US"/>
        </w:rPr>
        <w:t xml:space="preserve"> and funding scheme.</w:t>
      </w:r>
    </w:p>
    <w:p w14:paraId="0DF5D539" w14:textId="77777777" w:rsidR="00A245AB" w:rsidRPr="0049263B" w:rsidRDefault="00A245AB" w:rsidP="00A245AB">
      <w:pPr>
        <w:pStyle w:val="CommentText"/>
        <w:numPr>
          <w:ilvl w:val="0"/>
          <w:numId w:val="3"/>
        </w:numPr>
        <w:ind w:left="284" w:hanging="295"/>
        <w:jc w:val="both"/>
        <w:rPr>
          <w:rFonts w:ascii="Arial" w:hAnsi="Arial" w:cs="Arial"/>
          <w:sz w:val="22"/>
          <w:szCs w:val="22"/>
        </w:rPr>
      </w:pPr>
      <w:r w:rsidRPr="00A245AB">
        <w:rPr>
          <w:rFonts w:ascii="Arial" w:hAnsi="Arial" w:cs="Arial"/>
          <w:sz w:val="22"/>
          <w:szCs w:val="22"/>
        </w:rPr>
        <w:t>What CAM services do you think could be provided under the motorway and freeway coverage obligations (Annex 1) included in the 5G spectrum usage rights?</w:t>
      </w:r>
    </w:p>
    <w:p w14:paraId="2B01B643" w14:textId="721CCE6E" w:rsidR="00A245AB" w:rsidRDefault="00A245AB" w:rsidP="00A245AB">
      <w:pPr>
        <w:pStyle w:val="CommentText"/>
        <w:numPr>
          <w:ilvl w:val="0"/>
          <w:numId w:val="3"/>
        </w:numPr>
        <w:ind w:left="284" w:hanging="284"/>
        <w:jc w:val="both"/>
        <w:rPr>
          <w:rFonts w:ascii="Arial" w:hAnsi="Arial" w:cs="Arial"/>
          <w:sz w:val="22"/>
          <w:szCs w:val="22"/>
        </w:rPr>
      </w:pPr>
      <w:r w:rsidRPr="00A245AB">
        <w:rPr>
          <w:rFonts w:ascii="Arial" w:hAnsi="Arial" w:cs="Arial"/>
          <w:sz w:val="22"/>
          <w:szCs w:val="22"/>
        </w:rPr>
        <w:t xml:space="preserve">Given the obligations of Annex 1 and </w:t>
      </w:r>
      <w:proofErr w:type="gramStart"/>
      <w:r w:rsidRPr="00A245AB">
        <w:rPr>
          <w:rFonts w:ascii="Arial" w:hAnsi="Arial" w:cs="Arial"/>
          <w:sz w:val="22"/>
          <w:szCs w:val="22"/>
        </w:rPr>
        <w:t>taking into account</w:t>
      </w:r>
      <w:proofErr w:type="gramEnd"/>
      <w:r w:rsidRPr="00A245AB">
        <w:rPr>
          <w:rFonts w:ascii="Arial" w:hAnsi="Arial" w:cs="Arial"/>
          <w:sz w:val="22"/>
          <w:szCs w:val="22"/>
        </w:rPr>
        <w:t xml:space="preserve"> your answers to questions 2 and 3, </w:t>
      </w:r>
      <w:r w:rsidR="007E2AA8" w:rsidRPr="00A245AB">
        <w:rPr>
          <w:rFonts w:ascii="Arial" w:hAnsi="Arial" w:cs="Arial"/>
          <w:sz w:val="22"/>
          <w:szCs w:val="22"/>
        </w:rPr>
        <w:t>what is</w:t>
      </w:r>
      <w:r w:rsidRPr="00A245AB">
        <w:rPr>
          <w:rFonts w:ascii="Arial" w:hAnsi="Arial" w:cs="Arial"/>
          <w:sz w:val="22"/>
          <w:szCs w:val="22"/>
        </w:rPr>
        <w:t xml:space="preserve"> the additional equipment and cost to cover the abovementioned CAM use cases for the highways described in table 1?</w:t>
      </w:r>
    </w:p>
    <w:p w14:paraId="696B24BF" w14:textId="5D9BAD10" w:rsidR="003879E1" w:rsidRPr="00A245AB" w:rsidRDefault="003879E1" w:rsidP="00A245AB">
      <w:pPr>
        <w:pStyle w:val="CommentText"/>
        <w:numPr>
          <w:ilvl w:val="0"/>
          <w:numId w:val="3"/>
        </w:numPr>
        <w:ind w:left="284" w:hanging="284"/>
        <w:jc w:val="both"/>
        <w:rPr>
          <w:rFonts w:ascii="Arial" w:hAnsi="Arial" w:cs="Arial"/>
          <w:sz w:val="22"/>
          <w:szCs w:val="22"/>
        </w:rPr>
      </w:pPr>
      <w:r>
        <w:rPr>
          <w:rFonts w:ascii="Arial" w:hAnsi="Arial" w:cs="Arial"/>
          <w:sz w:val="22"/>
          <w:szCs w:val="22"/>
        </w:rPr>
        <w:t xml:space="preserve">How would CAM service deliver a major contribution to civil </w:t>
      </w:r>
      <w:proofErr w:type="gramStart"/>
      <w:r>
        <w:rPr>
          <w:rFonts w:ascii="Arial" w:hAnsi="Arial" w:cs="Arial"/>
          <w:sz w:val="22"/>
          <w:szCs w:val="22"/>
        </w:rPr>
        <w:t>protection ?</w:t>
      </w:r>
      <w:proofErr w:type="gramEnd"/>
    </w:p>
    <w:p w14:paraId="7BB9F7E9" w14:textId="77777777" w:rsidR="0049263B" w:rsidRPr="00FF4299" w:rsidRDefault="0049263B" w:rsidP="0049263B">
      <w:pPr>
        <w:pStyle w:val="Default"/>
        <w:numPr>
          <w:ilvl w:val="0"/>
          <w:numId w:val="3"/>
        </w:numPr>
        <w:ind w:left="284" w:hanging="284"/>
        <w:jc w:val="both"/>
        <w:rPr>
          <w:rFonts w:ascii="Arial" w:hAnsi="Arial" w:cs="Arial"/>
          <w:color w:val="auto"/>
          <w:sz w:val="22"/>
          <w:szCs w:val="22"/>
          <w:lang w:val="en-US"/>
        </w:rPr>
      </w:pPr>
      <w:r w:rsidRPr="00FF4299">
        <w:rPr>
          <w:rFonts w:ascii="Arial" w:hAnsi="Arial" w:cs="Arial"/>
          <w:color w:val="auto"/>
          <w:sz w:val="22"/>
          <w:szCs w:val="22"/>
          <w:lang w:val="en-US"/>
        </w:rPr>
        <w:t>How would CAM services deliver a major contribution to green mobility?</w:t>
      </w:r>
    </w:p>
    <w:p w14:paraId="2868A21A" w14:textId="77777777" w:rsidR="00EC4D14" w:rsidRPr="00A01DA1" w:rsidRDefault="00EC4D14" w:rsidP="00EC4D14">
      <w:pPr>
        <w:pStyle w:val="Default"/>
        <w:rPr>
          <w:sz w:val="22"/>
          <w:szCs w:val="22"/>
          <w:lang w:val="en-US"/>
        </w:rPr>
      </w:pPr>
    </w:p>
    <w:p w14:paraId="511F8E0B" w14:textId="4216FC04" w:rsidR="007E2AA8" w:rsidRDefault="007E2AA8">
      <w:pPr>
        <w:rPr>
          <w:rFonts w:ascii="Calibri" w:hAnsi="Calibri" w:cs="Calibri"/>
          <w:color w:val="000000"/>
        </w:rPr>
      </w:pPr>
      <w:r>
        <w:br w:type="page"/>
      </w:r>
    </w:p>
    <w:p w14:paraId="06CF048A" w14:textId="77777777" w:rsidR="00C42E8A" w:rsidRPr="00A01DA1" w:rsidRDefault="00C42E8A" w:rsidP="00EC4D14">
      <w:pPr>
        <w:pStyle w:val="Default"/>
        <w:rPr>
          <w:sz w:val="22"/>
          <w:szCs w:val="22"/>
          <w:lang w:val="en-US"/>
        </w:rPr>
      </w:pPr>
    </w:p>
    <w:p w14:paraId="42992A97" w14:textId="77777777" w:rsidR="005252DD" w:rsidRPr="00EC4D14" w:rsidRDefault="004375E7" w:rsidP="00EC4D14">
      <w:pPr>
        <w:pStyle w:val="2"/>
        <w:rPr>
          <w:rFonts w:ascii="Arial" w:eastAsiaTheme="minorHAnsi" w:hAnsi="Arial" w:cs="Arial"/>
          <w:b/>
          <w:sz w:val="22"/>
          <w:szCs w:val="22"/>
          <w:lang w:val="en-US" w:eastAsia="en-US"/>
        </w:rPr>
      </w:pPr>
      <w:r w:rsidRPr="00EC4D14">
        <w:rPr>
          <w:rFonts w:ascii="Arial" w:eastAsiaTheme="minorHAnsi" w:hAnsi="Arial" w:cs="Arial"/>
          <w:b/>
          <w:sz w:val="22"/>
          <w:szCs w:val="22"/>
          <w:lang w:val="en-US" w:eastAsia="en-US"/>
        </w:rPr>
        <w:t>Annex 1</w:t>
      </w:r>
    </w:p>
    <w:p w14:paraId="0903C098" w14:textId="77777777" w:rsidR="005252DD" w:rsidRPr="00EC4D14" w:rsidRDefault="005252DD">
      <w:pPr>
        <w:pStyle w:val="Default"/>
        <w:rPr>
          <w:sz w:val="22"/>
          <w:szCs w:val="22"/>
          <w:lang w:val="en-US"/>
        </w:rPr>
      </w:pPr>
    </w:p>
    <w:p w14:paraId="7000439C" w14:textId="4159DCAF" w:rsidR="004375E7" w:rsidRPr="00EC4D14" w:rsidRDefault="004375E7" w:rsidP="004375E7">
      <w:pPr>
        <w:pStyle w:val="2"/>
        <w:rPr>
          <w:rFonts w:ascii="Arial" w:eastAsiaTheme="minorHAnsi" w:hAnsi="Arial" w:cs="Arial"/>
          <w:b/>
          <w:sz w:val="22"/>
          <w:szCs w:val="22"/>
          <w:lang w:val="en-US" w:eastAsia="en-US"/>
        </w:rPr>
      </w:pPr>
      <w:r w:rsidRPr="00EC4D14">
        <w:rPr>
          <w:rFonts w:ascii="Arial" w:eastAsiaTheme="minorHAnsi" w:hAnsi="Arial" w:cs="Arial"/>
          <w:b/>
          <w:sz w:val="22"/>
          <w:szCs w:val="22"/>
          <w:lang w:val="en-US" w:eastAsia="en-US"/>
        </w:rPr>
        <w:t>Coverage obligations</w:t>
      </w:r>
      <w:r w:rsidR="007E2AA8">
        <w:rPr>
          <w:rFonts w:ascii="Arial" w:eastAsiaTheme="minorHAnsi" w:hAnsi="Arial" w:cs="Arial"/>
          <w:b/>
          <w:sz w:val="22"/>
          <w:szCs w:val="22"/>
          <w:lang w:val="en-US" w:eastAsia="en-US"/>
        </w:rPr>
        <w:t xml:space="preserve"> according to 5G Auction fulfilled in December 2020</w:t>
      </w:r>
    </w:p>
    <w:p w14:paraId="552EA0F2" w14:textId="77777777" w:rsidR="004375E7" w:rsidRPr="00EC4D14" w:rsidRDefault="004375E7" w:rsidP="004375E7">
      <w:pPr>
        <w:pStyle w:val="2"/>
        <w:rPr>
          <w:rFonts w:ascii="Arial" w:eastAsiaTheme="minorHAnsi" w:hAnsi="Arial" w:cs="Arial"/>
          <w:sz w:val="22"/>
          <w:szCs w:val="22"/>
          <w:lang w:val="en-US" w:eastAsia="en-US"/>
        </w:rPr>
      </w:pPr>
    </w:p>
    <w:p w14:paraId="78E145B1" w14:textId="4EEDE8DD" w:rsidR="004375E7" w:rsidRPr="00A01DA1" w:rsidRDefault="004375E7" w:rsidP="004375E7">
      <w:pPr>
        <w:pStyle w:val="2"/>
        <w:rPr>
          <w:rFonts w:ascii="Arial" w:eastAsiaTheme="minorHAnsi" w:hAnsi="Arial" w:cs="Arial"/>
          <w:b/>
          <w:sz w:val="22"/>
          <w:szCs w:val="22"/>
          <w:lang w:val="en-US" w:eastAsia="en-US"/>
        </w:rPr>
      </w:pPr>
      <w:r w:rsidRPr="00EC4D14">
        <w:rPr>
          <w:rFonts w:ascii="Arial" w:eastAsiaTheme="minorHAnsi" w:hAnsi="Arial" w:cs="Arial"/>
          <w:b/>
          <w:sz w:val="22"/>
          <w:szCs w:val="22"/>
          <w:lang w:val="en-US" w:eastAsia="en-US"/>
        </w:rPr>
        <w:t>700MHz</w:t>
      </w:r>
      <w:r w:rsidR="007E2AA8">
        <w:rPr>
          <w:rFonts w:ascii="Arial" w:eastAsiaTheme="minorHAnsi" w:hAnsi="Arial" w:cs="Arial"/>
          <w:b/>
          <w:sz w:val="22"/>
          <w:szCs w:val="22"/>
          <w:lang w:val="en-US" w:eastAsia="en-US"/>
        </w:rPr>
        <w:t xml:space="preserve"> </w:t>
      </w:r>
      <w:r w:rsidRPr="00EC4D14">
        <w:rPr>
          <w:rFonts w:ascii="Arial" w:eastAsiaTheme="minorHAnsi" w:hAnsi="Arial" w:cs="Arial"/>
          <w:b/>
          <w:sz w:val="22"/>
          <w:szCs w:val="22"/>
          <w:lang w:val="en-US" w:eastAsia="en-US"/>
        </w:rPr>
        <w:t>and 2GHz bands</w:t>
      </w:r>
    </w:p>
    <w:p w14:paraId="753B9913" w14:textId="77777777" w:rsidR="00EC4D14" w:rsidRPr="00A01DA1" w:rsidRDefault="00EC4D14" w:rsidP="004375E7">
      <w:pPr>
        <w:pStyle w:val="2"/>
        <w:rPr>
          <w:rFonts w:ascii="Arial" w:eastAsiaTheme="minorHAnsi" w:hAnsi="Arial" w:cs="Arial"/>
          <w:sz w:val="22"/>
          <w:szCs w:val="22"/>
          <w:lang w:val="en-US" w:eastAsia="en-US"/>
        </w:rPr>
      </w:pPr>
    </w:p>
    <w:p w14:paraId="0A6C5ED3" w14:textId="77777777" w:rsidR="004375E7" w:rsidRDefault="004375E7" w:rsidP="00FF3F2B">
      <w:pPr>
        <w:pStyle w:val="2"/>
        <w:numPr>
          <w:ilvl w:val="0"/>
          <w:numId w:val="6"/>
        </w:numPr>
        <w:ind w:left="284" w:hanging="284"/>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For the provision of voice and data services, using all radio frequency bands to which each provider is entitled, within three (3) years from the entry into force of the right:</w:t>
      </w:r>
    </w:p>
    <w:p w14:paraId="7A7E6DEF" w14:textId="77777777" w:rsidR="00FF3F2B" w:rsidRPr="00EC4D14" w:rsidRDefault="00FF3F2B" w:rsidP="00FF3F2B">
      <w:pPr>
        <w:pStyle w:val="2"/>
        <w:ind w:left="284"/>
        <w:rPr>
          <w:rFonts w:ascii="Arial" w:eastAsiaTheme="minorHAnsi" w:hAnsi="Arial" w:cs="Arial"/>
          <w:sz w:val="22"/>
          <w:szCs w:val="22"/>
          <w:lang w:val="en-US" w:eastAsia="en-US"/>
        </w:rPr>
      </w:pPr>
    </w:p>
    <w:p w14:paraId="5F4C6D3F"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at least 99% of all population and at least 95% of population of each regional unit of the country,</w:t>
      </w:r>
    </w:p>
    <w:p w14:paraId="1207FACF"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95% of the total land area of the country,</w:t>
      </w:r>
    </w:p>
    <w:p w14:paraId="572D8069"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95% of the marine area,</w:t>
      </w:r>
    </w:p>
    <w:p w14:paraId="07A4123E"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95% of motorways</w:t>
      </w:r>
      <w:r w:rsidR="00333233">
        <w:rPr>
          <w:rStyle w:val="FootnoteReference"/>
          <w:rFonts w:ascii="Arial" w:eastAsiaTheme="minorHAnsi" w:hAnsi="Arial" w:cs="Arial"/>
          <w:sz w:val="22"/>
          <w:szCs w:val="22"/>
          <w:lang w:val="en-US" w:eastAsia="en-US"/>
        </w:rPr>
        <w:footnoteReference w:id="7"/>
      </w:r>
      <w:r w:rsidRPr="00EC4D14">
        <w:rPr>
          <w:rFonts w:ascii="Arial" w:eastAsiaTheme="minorHAnsi" w:hAnsi="Arial" w:cs="Arial"/>
          <w:sz w:val="22"/>
          <w:szCs w:val="22"/>
          <w:lang w:val="en-US" w:eastAsia="en-US"/>
        </w:rPr>
        <w:t>,</w:t>
      </w:r>
    </w:p>
    <w:p w14:paraId="3C5C7CB0"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90% of European</w:t>
      </w:r>
      <w:r w:rsidR="00333233">
        <w:rPr>
          <w:rStyle w:val="FootnoteReference"/>
          <w:rFonts w:ascii="Arial" w:eastAsiaTheme="minorHAnsi" w:hAnsi="Arial" w:cs="Arial"/>
          <w:sz w:val="22"/>
          <w:szCs w:val="22"/>
          <w:lang w:val="en-US" w:eastAsia="en-US"/>
        </w:rPr>
        <w:footnoteReference w:id="8"/>
      </w:r>
      <w:r w:rsidR="00333233">
        <w:rPr>
          <w:rFonts w:ascii="Arial" w:eastAsiaTheme="minorHAnsi" w:hAnsi="Arial" w:cs="Arial"/>
          <w:sz w:val="22"/>
          <w:szCs w:val="22"/>
          <w:lang w:val="en-US" w:eastAsia="en-US"/>
        </w:rPr>
        <w:t>and national</w:t>
      </w:r>
      <w:r w:rsidR="001F1FF8">
        <w:rPr>
          <w:rStyle w:val="FootnoteReference"/>
          <w:rFonts w:ascii="Arial" w:eastAsiaTheme="minorHAnsi" w:hAnsi="Arial" w:cs="Arial"/>
          <w:sz w:val="22"/>
          <w:szCs w:val="22"/>
          <w:lang w:val="en-US" w:eastAsia="en-US"/>
        </w:rPr>
        <w:footnoteReference w:id="9"/>
      </w:r>
      <w:r w:rsidRPr="00EC4D14">
        <w:rPr>
          <w:rFonts w:ascii="Arial" w:eastAsiaTheme="minorHAnsi" w:hAnsi="Arial" w:cs="Arial"/>
          <w:sz w:val="22"/>
          <w:szCs w:val="22"/>
          <w:lang w:val="en-US" w:eastAsia="en-US"/>
        </w:rPr>
        <w:t>roads and highways</w:t>
      </w:r>
    </w:p>
    <w:p w14:paraId="43282D33"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95% of the rail networks Athens-Patra and Athens-Thessaloniki</w:t>
      </w:r>
    </w:p>
    <w:p w14:paraId="775ADF61" w14:textId="77777777" w:rsidR="004375E7" w:rsidRPr="00EC4D14" w:rsidRDefault="004375E7" w:rsidP="004375E7">
      <w:pPr>
        <w:pStyle w:val="2"/>
        <w:rPr>
          <w:rFonts w:ascii="Arial" w:eastAsiaTheme="minorHAnsi" w:hAnsi="Arial" w:cs="Arial"/>
          <w:sz w:val="22"/>
          <w:szCs w:val="22"/>
          <w:lang w:val="en-US" w:eastAsia="en-US"/>
        </w:rPr>
      </w:pPr>
    </w:p>
    <w:p w14:paraId="743894FB" w14:textId="77777777" w:rsidR="004375E7" w:rsidRPr="00EC4D14" w:rsidRDefault="004375E7" w:rsidP="00FF3F2B">
      <w:pPr>
        <w:pStyle w:val="2"/>
        <w:numPr>
          <w:ilvl w:val="0"/>
          <w:numId w:val="6"/>
        </w:numPr>
        <w:ind w:left="284" w:hanging="284"/>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For the provision of broadband services, using all radio frequency bands which each provider holds, a nominal transmission rate of at least 100 Mbps on the downlink: </w:t>
      </w:r>
    </w:p>
    <w:p w14:paraId="39B84E0E" w14:textId="77777777" w:rsidR="004375E7" w:rsidRPr="00EC4D14" w:rsidRDefault="004375E7" w:rsidP="004375E7">
      <w:pPr>
        <w:pStyle w:val="2"/>
        <w:rPr>
          <w:rFonts w:ascii="Arial" w:eastAsiaTheme="minorHAnsi" w:hAnsi="Arial" w:cs="Arial"/>
          <w:sz w:val="22"/>
          <w:szCs w:val="22"/>
          <w:lang w:val="en-US" w:eastAsia="en-US"/>
        </w:rPr>
      </w:pPr>
    </w:p>
    <w:p w14:paraId="6E974613" w14:textId="77777777" w:rsidR="004375E7" w:rsidRPr="00EC4D14" w:rsidRDefault="004375E7" w:rsidP="004375E7">
      <w:pPr>
        <w:pStyle w:val="2"/>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within three (3) years from the entry into force of the right:</w:t>
      </w:r>
    </w:p>
    <w:p w14:paraId="3C6842AF" w14:textId="77777777" w:rsidR="004375E7" w:rsidRPr="00EC4D14" w:rsidRDefault="004375E7" w:rsidP="004375E7">
      <w:pPr>
        <w:pStyle w:val="2"/>
        <w:rPr>
          <w:rFonts w:ascii="Arial" w:eastAsiaTheme="minorHAnsi" w:hAnsi="Arial" w:cs="Arial"/>
          <w:sz w:val="22"/>
          <w:szCs w:val="22"/>
          <w:lang w:val="en-US" w:eastAsia="en-US"/>
        </w:rPr>
      </w:pPr>
    </w:p>
    <w:p w14:paraId="06D3101D"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of geographical areas where at least 60% of the country's population resides</w:t>
      </w:r>
    </w:p>
    <w:p w14:paraId="6A1DE886"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Coverage of 60% of </w:t>
      </w:r>
      <w:r w:rsidR="00333233">
        <w:rPr>
          <w:rFonts w:ascii="Arial" w:eastAsiaTheme="minorHAnsi" w:hAnsi="Arial" w:cs="Arial"/>
          <w:sz w:val="22"/>
          <w:szCs w:val="22"/>
          <w:lang w:val="en-US" w:eastAsia="en-US"/>
        </w:rPr>
        <w:t>national</w:t>
      </w:r>
      <w:r w:rsidR="00FF3F2B">
        <w:rPr>
          <w:rStyle w:val="FootnoteReference"/>
          <w:rFonts w:ascii="Arial" w:eastAsiaTheme="minorHAnsi" w:hAnsi="Arial" w:cs="Arial"/>
          <w:sz w:val="22"/>
          <w:szCs w:val="22"/>
          <w:lang w:val="en-US" w:eastAsia="en-US"/>
        </w:rPr>
        <w:footnoteReference w:id="10"/>
      </w:r>
      <w:r w:rsidRPr="00EC4D14">
        <w:rPr>
          <w:rFonts w:ascii="Arial" w:eastAsiaTheme="minorHAnsi" w:hAnsi="Arial" w:cs="Arial"/>
          <w:sz w:val="22"/>
          <w:szCs w:val="22"/>
          <w:lang w:val="en-US" w:eastAsia="en-US"/>
        </w:rPr>
        <w:t>highways and motorways</w:t>
      </w:r>
    </w:p>
    <w:p w14:paraId="186E3B2B"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Coverage of 60% of the rail networks Athens-Patra and Athens-Thessaloniki </w:t>
      </w:r>
    </w:p>
    <w:p w14:paraId="57E095F8"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Coverage with a maximum delay (one-way latency) of ten milliseconds (10ms) between the terminal and the corresponding base station, 95% of the major Greek national motorways</w:t>
      </w:r>
    </w:p>
    <w:p w14:paraId="5DE63185" w14:textId="77777777" w:rsidR="00FF3F2B" w:rsidRPr="00A01DA1" w:rsidRDefault="00FF3F2B" w:rsidP="00FF3F2B">
      <w:pPr>
        <w:autoSpaceDE w:val="0"/>
        <w:autoSpaceDN w:val="0"/>
        <w:adjustRightInd w:val="0"/>
        <w:spacing w:after="0" w:line="240" w:lineRule="auto"/>
        <w:rPr>
          <w:rFonts w:ascii="Courier New" w:hAnsi="Courier New" w:cs="Courier New"/>
          <w:color w:val="000000"/>
          <w:sz w:val="24"/>
          <w:szCs w:val="24"/>
        </w:rPr>
      </w:pPr>
    </w:p>
    <w:p w14:paraId="6306A0C4" w14:textId="77777777" w:rsidR="00FF3F2B" w:rsidRPr="00AF0727" w:rsidRDefault="00FF3F2B"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Athens – Thessaloniki –Evzonoi</w:t>
      </w:r>
      <w:r w:rsidR="00DC035C">
        <w:rPr>
          <w:rFonts w:ascii="Arial" w:hAnsi="Arial" w:cs="Arial"/>
          <w:lang w:val="el-GR"/>
        </w:rPr>
        <w:t xml:space="preserve"> </w:t>
      </w:r>
      <w:r w:rsidR="00AF0727" w:rsidRPr="00AF0727">
        <w:rPr>
          <w:rFonts w:ascii="Arial" w:hAnsi="Arial" w:cs="Arial"/>
        </w:rPr>
        <w:t>motorway</w:t>
      </w:r>
    </w:p>
    <w:p w14:paraId="10527D29" w14:textId="77777777"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 xml:space="preserve">Central </w:t>
      </w:r>
      <w:r w:rsidR="00511E52" w:rsidRPr="00AF0727">
        <w:rPr>
          <w:rFonts w:ascii="Arial" w:hAnsi="Arial" w:cs="Arial"/>
        </w:rPr>
        <w:t>Peloponnese</w:t>
      </w:r>
      <w:r w:rsidR="00FF3F2B" w:rsidRPr="00AF0727">
        <w:rPr>
          <w:rFonts w:ascii="Arial" w:hAnsi="Arial" w:cs="Arial"/>
        </w:rPr>
        <w:t xml:space="preserve"> (</w:t>
      </w:r>
      <w:r w:rsidRPr="00AF0727">
        <w:rPr>
          <w:rFonts w:ascii="Arial" w:hAnsi="Arial" w:cs="Arial"/>
        </w:rPr>
        <w:t>Moreas</w:t>
      </w:r>
      <w:r w:rsidR="00FF3F2B" w:rsidRPr="00AF0727">
        <w:rPr>
          <w:rFonts w:ascii="Arial" w:hAnsi="Arial" w:cs="Arial"/>
        </w:rPr>
        <w:t xml:space="preserve">) </w:t>
      </w:r>
      <w:r w:rsidRPr="00AF0727">
        <w:rPr>
          <w:rFonts w:ascii="Arial" w:hAnsi="Arial" w:cs="Arial"/>
        </w:rPr>
        <w:t>motorway</w:t>
      </w:r>
    </w:p>
    <w:p w14:paraId="47984E55" w14:textId="77777777"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Olympia Odos</w:t>
      </w:r>
    </w:p>
    <w:p w14:paraId="3901F4D0" w14:textId="77777777"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Ionia Odos</w:t>
      </w:r>
    </w:p>
    <w:p w14:paraId="1B19928D" w14:textId="11B284D2"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Egnatia</w:t>
      </w:r>
      <w:r w:rsidR="007E2AA8">
        <w:rPr>
          <w:rFonts w:ascii="Arial" w:hAnsi="Arial" w:cs="Arial"/>
        </w:rPr>
        <w:t xml:space="preserve"> </w:t>
      </w:r>
      <w:r w:rsidRPr="00AF0727">
        <w:rPr>
          <w:rFonts w:ascii="Arial" w:hAnsi="Arial" w:cs="Arial"/>
        </w:rPr>
        <w:t>Odos</w:t>
      </w:r>
    </w:p>
    <w:p w14:paraId="3F17ED89" w14:textId="77777777"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Central Greece motorway</w:t>
      </w:r>
    </w:p>
    <w:p w14:paraId="14007118" w14:textId="2F740A0E"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proofErr w:type="spellStart"/>
      <w:r w:rsidRPr="00AF0727">
        <w:rPr>
          <w:rFonts w:ascii="Arial" w:hAnsi="Arial" w:cs="Arial"/>
        </w:rPr>
        <w:t>Attiki</w:t>
      </w:r>
      <w:proofErr w:type="spellEnd"/>
      <w:r w:rsidR="007E2AA8">
        <w:rPr>
          <w:rFonts w:ascii="Arial" w:hAnsi="Arial" w:cs="Arial"/>
        </w:rPr>
        <w:t xml:space="preserve"> </w:t>
      </w:r>
      <w:proofErr w:type="spellStart"/>
      <w:r w:rsidRPr="00AF0727">
        <w:rPr>
          <w:rFonts w:ascii="Arial" w:hAnsi="Arial" w:cs="Arial"/>
        </w:rPr>
        <w:t>Odos</w:t>
      </w:r>
      <w:proofErr w:type="spellEnd"/>
    </w:p>
    <w:p w14:paraId="6FFF74C4" w14:textId="77777777" w:rsidR="00FF3F2B" w:rsidRPr="00AF0727" w:rsidRDefault="00AF0727" w:rsidP="00AF0727">
      <w:pPr>
        <w:pStyle w:val="ListParagraph"/>
        <w:numPr>
          <w:ilvl w:val="0"/>
          <w:numId w:val="4"/>
        </w:numPr>
        <w:autoSpaceDE w:val="0"/>
        <w:autoSpaceDN w:val="0"/>
        <w:adjustRightInd w:val="0"/>
        <w:spacing w:after="0" w:line="240" w:lineRule="atLeast"/>
        <w:ind w:firstLine="981"/>
        <w:rPr>
          <w:rFonts w:ascii="Arial" w:hAnsi="Arial" w:cs="Arial"/>
        </w:rPr>
      </w:pPr>
      <w:r w:rsidRPr="00AF0727">
        <w:rPr>
          <w:rFonts w:ascii="Arial" w:hAnsi="Arial" w:cs="Arial"/>
        </w:rPr>
        <w:t>Northern Crete motorway</w:t>
      </w:r>
    </w:p>
    <w:p w14:paraId="362F753F" w14:textId="77777777" w:rsidR="00FF3F2B" w:rsidRPr="00FF3F2B" w:rsidRDefault="00FF3F2B" w:rsidP="00FF3F2B">
      <w:pPr>
        <w:autoSpaceDE w:val="0"/>
        <w:autoSpaceDN w:val="0"/>
        <w:adjustRightInd w:val="0"/>
        <w:spacing w:after="0" w:line="240" w:lineRule="auto"/>
        <w:rPr>
          <w:rFonts w:ascii="Calibri" w:hAnsi="Calibri" w:cs="Calibri"/>
          <w:color w:val="000000"/>
          <w:lang w:val="el-GR"/>
        </w:rPr>
      </w:pPr>
    </w:p>
    <w:p w14:paraId="55B1B70B" w14:textId="77777777" w:rsidR="004375E7" w:rsidRPr="00FF3F2B" w:rsidRDefault="004375E7" w:rsidP="004375E7">
      <w:pPr>
        <w:pStyle w:val="2"/>
        <w:rPr>
          <w:rFonts w:ascii="Arial" w:eastAsiaTheme="minorHAnsi" w:hAnsi="Arial" w:cs="Arial"/>
          <w:sz w:val="22"/>
          <w:szCs w:val="22"/>
          <w:lang w:val="el-GR" w:eastAsia="en-US"/>
        </w:rPr>
      </w:pPr>
    </w:p>
    <w:p w14:paraId="1DC813F0" w14:textId="77777777" w:rsidR="004375E7" w:rsidRPr="00EC4D14" w:rsidRDefault="004375E7" w:rsidP="00FF3F2B">
      <w:pPr>
        <w:pStyle w:val="2"/>
        <w:ind w:firstLine="360"/>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within six (6) years from the entry into force of the right:</w:t>
      </w:r>
    </w:p>
    <w:p w14:paraId="1FB1AA18" w14:textId="77777777" w:rsidR="004375E7" w:rsidRPr="00EC4D14" w:rsidRDefault="004375E7" w:rsidP="004375E7">
      <w:pPr>
        <w:pStyle w:val="2"/>
        <w:rPr>
          <w:rFonts w:ascii="Arial" w:eastAsiaTheme="minorHAnsi" w:hAnsi="Arial" w:cs="Arial"/>
          <w:sz w:val="22"/>
          <w:szCs w:val="22"/>
          <w:lang w:val="en-US" w:eastAsia="en-US"/>
        </w:rPr>
      </w:pPr>
    </w:p>
    <w:p w14:paraId="7DD70E44"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lastRenderedPageBreak/>
        <w:t>Coverage of geographical areas where at least 90% of the country's population resides</w:t>
      </w:r>
    </w:p>
    <w:p w14:paraId="3E4B45B5"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Coverage of 90% of </w:t>
      </w:r>
      <w:r w:rsidR="00E04258">
        <w:rPr>
          <w:rFonts w:ascii="Arial" w:eastAsiaTheme="minorHAnsi" w:hAnsi="Arial" w:cs="Arial"/>
          <w:sz w:val="22"/>
          <w:szCs w:val="22"/>
          <w:lang w:val="en-US" w:eastAsia="en-US"/>
        </w:rPr>
        <w:t xml:space="preserve">national </w:t>
      </w:r>
      <w:r w:rsidRPr="00EC4D14">
        <w:rPr>
          <w:rFonts w:ascii="Arial" w:eastAsiaTheme="minorHAnsi" w:hAnsi="Arial" w:cs="Arial"/>
          <w:sz w:val="22"/>
          <w:szCs w:val="22"/>
          <w:lang w:val="en-US" w:eastAsia="en-US"/>
        </w:rPr>
        <w:t>highways</w:t>
      </w:r>
      <w:r w:rsidR="00E04258">
        <w:rPr>
          <w:rStyle w:val="FootnoteReference"/>
          <w:rFonts w:ascii="Arial" w:eastAsiaTheme="minorHAnsi" w:hAnsi="Arial" w:cs="Arial"/>
          <w:sz w:val="22"/>
          <w:szCs w:val="22"/>
          <w:lang w:val="en-US" w:eastAsia="en-US"/>
        </w:rPr>
        <w:footnoteReference w:id="11"/>
      </w:r>
      <w:r w:rsidRPr="00EC4D14">
        <w:rPr>
          <w:rFonts w:ascii="Arial" w:eastAsiaTheme="minorHAnsi" w:hAnsi="Arial" w:cs="Arial"/>
          <w:sz w:val="22"/>
          <w:szCs w:val="22"/>
          <w:lang w:val="en-US" w:eastAsia="en-US"/>
        </w:rPr>
        <w:t xml:space="preserve"> and motorways</w:t>
      </w:r>
      <w:r w:rsidR="00E04258">
        <w:rPr>
          <w:rStyle w:val="FootnoteReference"/>
          <w:rFonts w:ascii="Arial" w:eastAsiaTheme="minorHAnsi" w:hAnsi="Arial" w:cs="Arial"/>
          <w:sz w:val="22"/>
          <w:szCs w:val="22"/>
          <w:lang w:val="en-US" w:eastAsia="en-US"/>
        </w:rPr>
        <w:footnoteReference w:id="12"/>
      </w:r>
    </w:p>
    <w:p w14:paraId="68BE0618" w14:textId="77777777" w:rsidR="004375E7" w:rsidRPr="00EC4D14" w:rsidRDefault="004375E7" w:rsidP="00EC4D14">
      <w:pPr>
        <w:pStyle w:val="2"/>
        <w:numPr>
          <w:ilvl w:val="0"/>
          <w:numId w:val="4"/>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Coverage of 90% of the rail networks Athens-Patra and Athens-Thessaloniki </w:t>
      </w:r>
    </w:p>
    <w:p w14:paraId="5CFCC2A6" w14:textId="77777777" w:rsidR="004375E7" w:rsidRPr="00EC4D14" w:rsidRDefault="004375E7" w:rsidP="004375E7">
      <w:pPr>
        <w:pStyle w:val="2"/>
        <w:rPr>
          <w:rFonts w:ascii="Arial" w:eastAsiaTheme="minorHAnsi" w:hAnsi="Arial" w:cs="Arial"/>
          <w:sz w:val="22"/>
          <w:szCs w:val="22"/>
          <w:lang w:val="en-US" w:eastAsia="en-US"/>
        </w:rPr>
      </w:pPr>
    </w:p>
    <w:p w14:paraId="67C444C7" w14:textId="77777777" w:rsidR="004375E7" w:rsidRPr="00EC4D14" w:rsidRDefault="004375E7" w:rsidP="004375E7">
      <w:pPr>
        <w:pStyle w:val="2"/>
        <w:rPr>
          <w:rFonts w:ascii="Arial" w:eastAsiaTheme="minorHAnsi" w:hAnsi="Arial" w:cs="Arial"/>
          <w:sz w:val="22"/>
          <w:szCs w:val="22"/>
          <w:lang w:val="en-US" w:eastAsia="en-US"/>
        </w:rPr>
      </w:pPr>
    </w:p>
    <w:p w14:paraId="6F8F6466" w14:textId="77777777" w:rsidR="004375E7" w:rsidRPr="00EC4D14" w:rsidRDefault="004375E7" w:rsidP="004375E7">
      <w:pPr>
        <w:pStyle w:val="2"/>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In addition, </w:t>
      </w:r>
      <w:r w:rsidR="00511E52">
        <w:rPr>
          <w:rFonts w:ascii="Arial" w:eastAsiaTheme="minorHAnsi" w:hAnsi="Arial" w:cs="Arial"/>
          <w:sz w:val="22"/>
          <w:szCs w:val="22"/>
          <w:lang w:val="en-US" w:eastAsia="en-US"/>
        </w:rPr>
        <w:t xml:space="preserve">the Hellenic Telecommunications and Post Commission (EETT) </w:t>
      </w:r>
      <w:r w:rsidRPr="00EC4D14">
        <w:rPr>
          <w:rFonts w:ascii="Arial" w:eastAsiaTheme="minorHAnsi" w:hAnsi="Arial" w:cs="Arial"/>
          <w:sz w:val="22"/>
          <w:szCs w:val="22"/>
          <w:lang w:val="en-US" w:eastAsia="en-US"/>
        </w:rPr>
        <w:t>has set the obligation, within five (5) years from the entry into force of the right, using all radio frequency bands which each provider holds, for the provision of broadband services of at least 100 Mbps nominal bitrate to cover 95% of the population living in the municipalities where mobile broadband coverage has not reached 95% of population yet.</w:t>
      </w:r>
    </w:p>
    <w:p w14:paraId="6B0BA2A6" w14:textId="77777777" w:rsidR="004375E7" w:rsidRPr="00EC4D14" w:rsidRDefault="004375E7" w:rsidP="004375E7">
      <w:pPr>
        <w:pStyle w:val="2"/>
        <w:rPr>
          <w:rFonts w:ascii="Arial" w:eastAsiaTheme="minorHAnsi" w:hAnsi="Arial" w:cs="Arial"/>
          <w:sz w:val="22"/>
          <w:szCs w:val="22"/>
          <w:lang w:val="en-US" w:eastAsia="en-US"/>
        </w:rPr>
      </w:pPr>
    </w:p>
    <w:p w14:paraId="386BB56A" w14:textId="77777777" w:rsidR="004375E7" w:rsidRPr="00EC4D14" w:rsidRDefault="004375E7" w:rsidP="004375E7">
      <w:pPr>
        <w:pStyle w:val="2"/>
        <w:rPr>
          <w:rFonts w:ascii="Arial" w:eastAsiaTheme="minorHAnsi" w:hAnsi="Arial" w:cs="Arial"/>
          <w:sz w:val="22"/>
          <w:szCs w:val="22"/>
          <w:lang w:val="en-US" w:eastAsia="en-US"/>
        </w:rPr>
      </w:pPr>
    </w:p>
    <w:p w14:paraId="171B67C5" w14:textId="77777777" w:rsidR="004375E7" w:rsidRPr="00A01DA1" w:rsidRDefault="004375E7" w:rsidP="004375E7">
      <w:pPr>
        <w:pStyle w:val="2"/>
        <w:rPr>
          <w:rFonts w:ascii="Arial" w:eastAsiaTheme="minorHAnsi" w:hAnsi="Arial" w:cs="Arial"/>
          <w:b/>
          <w:sz w:val="22"/>
          <w:szCs w:val="22"/>
          <w:lang w:val="en-US" w:eastAsia="en-US"/>
        </w:rPr>
      </w:pPr>
      <w:r w:rsidRPr="00EC4D14">
        <w:rPr>
          <w:rFonts w:ascii="Arial" w:eastAsiaTheme="minorHAnsi" w:hAnsi="Arial" w:cs="Arial"/>
          <w:b/>
          <w:sz w:val="22"/>
          <w:szCs w:val="22"/>
          <w:lang w:val="en-US" w:eastAsia="en-US"/>
        </w:rPr>
        <w:t>3400 – 3800 MHz band</w:t>
      </w:r>
    </w:p>
    <w:p w14:paraId="1168B641" w14:textId="77777777" w:rsidR="00EC4D14" w:rsidRPr="00A01DA1" w:rsidRDefault="00EC4D14" w:rsidP="004375E7">
      <w:pPr>
        <w:pStyle w:val="2"/>
        <w:rPr>
          <w:rFonts w:ascii="Arial" w:eastAsiaTheme="minorHAnsi" w:hAnsi="Arial" w:cs="Arial"/>
          <w:b/>
          <w:sz w:val="22"/>
          <w:szCs w:val="22"/>
          <w:lang w:val="en-US" w:eastAsia="en-US"/>
        </w:rPr>
      </w:pPr>
    </w:p>
    <w:p w14:paraId="79248C3D" w14:textId="77777777" w:rsidR="004375E7" w:rsidRPr="00EC4D14" w:rsidRDefault="004375E7" w:rsidP="004375E7">
      <w:pPr>
        <w:pStyle w:val="2"/>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For the provision of voice and data services, using all radio frequency bands which each provider holds, within three (3) years from the entry into force of the right:</w:t>
      </w:r>
    </w:p>
    <w:p w14:paraId="0A24FBF2" w14:textId="77777777" w:rsidR="004375E7" w:rsidRPr="00EC4D14" w:rsidRDefault="004375E7" w:rsidP="004375E7">
      <w:pPr>
        <w:pStyle w:val="2"/>
        <w:rPr>
          <w:rFonts w:ascii="Arial" w:eastAsiaTheme="minorHAnsi" w:hAnsi="Arial" w:cs="Arial"/>
          <w:sz w:val="22"/>
          <w:szCs w:val="22"/>
          <w:lang w:val="en-US" w:eastAsia="en-US"/>
        </w:rPr>
      </w:pPr>
    </w:p>
    <w:p w14:paraId="47E22916" w14:textId="77777777" w:rsidR="004375E7" w:rsidRPr="00EC4D14" w:rsidRDefault="004375E7" w:rsidP="00EC4D14">
      <w:pPr>
        <w:pStyle w:val="2"/>
        <w:numPr>
          <w:ilvl w:val="0"/>
          <w:numId w:val="5"/>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Radio coverage of at least 20% of the country's population and network development in at least two (2) administrative districts of the country, </w:t>
      </w:r>
    </w:p>
    <w:p w14:paraId="4A4F1758" w14:textId="77777777" w:rsidR="004375E7" w:rsidRPr="00EC4D14" w:rsidRDefault="004375E7" w:rsidP="004375E7">
      <w:pPr>
        <w:pStyle w:val="2"/>
        <w:rPr>
          <w:rFonts w:ascii="Arial" w:eastAsiaTheme="minorHAnsi" w:hAnsi="Arial" w:cs="Arial"/>
          <w:sz w:val="22"/>
          <w:szCs w:val="22"/>
          <w:lang w:val="en-US" w:eastAsia="en-US"/>
        </w:rPr>
      </w:pPr>
    </w:p>
    <w:p w14:paraId="573F6974" w14:textId="77777777" w:rsidR="004375E7" w:rsidRPr="00EC4D14" w:rsidRDefault="004375E7" w:rsidP="00EC4D14">
      <w:pPr>
        <w:pStyle w:val="2"/>
        <w:numPr>
          <w:ilvl w:val="0"/>
          <w:numId w:val="5"/>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Obligation to install at least three hundred (300) base stations within five (5) years from the entry into force of the right.</w:t>
      </w:r>
    </w:p>
    <w:p w14:paraId="36BD62DB" w14:textId="77777777" w:rsidR="004375E7" w:rsidRPr="00EC4D14" w:rsidRDefault="004375E7" w:rsidP="004375E7">
      <w:pPr>
        <w:pStyle w:val="2"/>
        <w:rPr>
          <w:rFonts w:ascii="Arial" w:eastAsiaTheme="minorHAnsi" w:hAnsi="Arial" w:cs="Arial"/>
          <w:sz w:val="22"/>
          <w:szCs w:val="22"/>
          <w:lang w:val="en-US" w:eastAsia="en-US"/>
        </w:rPr>
      </w:pPr>
    </w:p>
    <w:p w14:paraId="1A862BA0" w14:textId="77777777" w:rsidR="004375E7" w:rsidRPr="00EC4D14" w:rsidRDefault="004375E7" w:rsidP="00EC4D14">
      <w:pPr>
        <w:pStyle w:val="2"/>
        <w:numPr>
          <w:ilvl w:val="0"/>
          <w:numId w:val="5"/>
        </w:numPr>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Provision of broadband services with nominal transmission rate of at least 100 Mbps in downlink with a maximum delay (one-way latency) between the terminal and the corresponding base station of ten milliseconds (10ms), using all the frequency bands on which each operator holds the right:</w:t>
      </w:r>
    </w:p>
    <w:p w14:paraId="28445837" w14:textId="77777777" w:rsidR="004375E7" w:rsidRPr="00EC4D14" w:rsidRDefault="004375E7" w:rsidP="004375E7">
      <w:pPr>
        <w:pStyle w:val="2"/>
        <w:rPr>
          <w:rFonts w:ascii="Arial" w:eastAsiaTheme="minorHAnsi" w:hAnsi="Arial" w:cs="Arial"/>
          <w:sz w:val="22"/>
          <w:szCs w:val="22"/>
          <w:lang w:val="en-US" w:eastAsia="en-US"/>
        </w:rPr>
      </w:pPr>
    </w:p>
    <w:p w14:paraId="60F90D92" w14:textId="77777777" w:rsidR="004375E7" w:rsidRDefault="004375E7" w:rsidP="00EC4D14">
      <w:pPr>
        <w:pStyle w:val="2"/>
        <w:numPr>
          <w:ilvl w:val="0"/>
          <w:numId w:val="5"/>
        </w:numPr>
        <w:ind w:left="1418" w:hanging="425"/>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within three (3) years from the entry into force of the right, to cover 60% of the major Greek national motorways</w:t>
      </w:r>
    </w:p>
    <w:p w14:paraId="4D8A80D7" w14:textId="77777777" w:rsidR="00E66305" w:rsidRDefault="00E66305" w:rsidP="00E66305">
      <w:pPr>
        <w:pStyle w:val="ListParagraph"/>
        <w:rPr>
          <w:rFonts w:ascii="Arial" w:hAnsi="Arial" w:cs="Arial"/>
        </w:rPr>
      </w:pPr>
    </w:p>
    <w:p w14:paraId="557D9A09" w14:textId="777777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Athens – Thessaloniki –Evzonoi</w:t>
      </w:r>
      <w:r w:rsidR="00DC035C">
        <w:rPr>
          <w:rFonts w:ascii="Arial" w:hAnsi="Arial" w:cs="Arial"/>
        </w:rPr>
        <w:t xml:space="preserve"> </w:t>
      </w:r>
      <w:r w:rsidRPr="00AF0727">
        <w:rPr>
          <w:rFonts w:ascii="Arial" w:hAnsi="Arial" w:cs="Arial"/>
        </w:rPr>
        <w:t>motorway</w:t>
      </w:r>
    </w:p>
    <w:p w14:paraId="4E8B349E" w14:textId="777777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 xml:space="preserve">Central </w:t>
      </w:r>
      <w:r w:rsidR="00511E52" w:rsidRPr="00AF0727">
        <w:rPr>
          <w:rFonts w:ascii="Arial" w:hAnsi="Arial" w:cs="Arial"/>
        </w:rPr>
        <w:t>Peloponnese</w:t>
      </w:r>
      <w:r w:rsidRPr="00AF0727">
        <w:rPr>
          <w:rFonts w:ascii="Arial" w:hAnsi="Arial" w:cs="Arial"/>
        </w:rPr>
        <w:t xml:space="preserve"> (Moreas) motorway</w:t>
      </w:r>
    </w:p>
    <w:p w14:paraId="4D6E7A13" w14:textId="777777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Olympia Odos</w:t>
      </w:r>
    </w:p>
    <w:p w14:paraId="224DFB3A" w14:textId="777777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Ionia Odos</w:t>
      </w:r>
    </w:p>
    <w:p w14:paraId="24ABAF1F" w14:textId="089E1594"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Egnatia</w:t>
      </w:r>
      <w:r w:rsidR="007E2AA8">
        <w:rPr>
          <w:rFonts w:ascii="Arial" w:hAnsi="Arial" w:cs="Arial"/>
        </w:rPr>
        <w:t xml:space="preserve"> </w:t>
      </w:r>
      <w:r w:rsidRPr="00AF0727">
        <w:rPr>
          <w:rFonts w:ascii="Arial" w:hAnsi="Arial" w:cs="Arial"/>
        </w:rPr>
        <w:t>Odos</w:t>
      </w:r>
    </w:p>
    <w:p w14:paraId="696A03F0" w14:textId="777777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Central Greece motorway</w:t>
      </w:r>
    </w:p>
    <w:p w14:paraId="2325F990" w14:textId="33AE8577" w:rsidR="00E66305" w:rsidRPr="00AF0727"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F0727">
        <w:rPr>
          <w:rFonts w:ascii="Arial" w:hAnsi="Arial" w:cs="Arial"/>
        </w:rPr>
        <w:t>Attiki</w:t>
      </w:r>
      <w:r w:rsidR="007E2AA8">
        <w:rPr>
          <w:rFonts w:ascii="Arial" w:hAnsi="Arial" w:cs="Arial"/>
        </w:rPr>
        <w:t xml:space="preserve"> </w:t>
      </w:r>
      <w:r w:rsidRPr="00AF0727">
        <w:rPr>
          <w:rFonts w:ascii="Arial" w:hAnsi="Arial" w:cs="Arial"/>
        </w:rPr>
        <w:t>Odos</w:t>
      </w:r>
    </w:p>
    <w:p w14:paraId="02E3C7F5" w14:textId="77777777" w:rsidR="00E66305" w:rsidRPr="00AB46F9" w:rsidRDefault="00E66305" w:rsidP="00E66305">
      <w:pPr>
        <w:pStyle w:val="ListParagraph"/>
        <w:numPr>
          <w:ilvl w:val="0"/>
          <w:numId w:val="5"/>
        </w:numPr>
        <w:autoSpaceDE w:val="0"/>
        <w:autoSpaceDN w:val="0"/>
        <w:adjustRightInd w:val="0"/>
        <w:spacing w:after="0" w:line="240" w:lineRule="atLeast"/>
        <w:ind w:firstLine="1265"/>
        <w:rPr>
          <w:rFonts w:ascii="Arial" w:hAnsi="Arial" w:cs="Arial"/>
        </w:rPr>
      </w:pPr>
      <w:r w:rsidRPr="00AB46F9">
        <w:rPr>
          <w:rFonts w:ascii="Arial" w:hAnsi="Arial" w:cs="Arial"/>
        </w:rPr>
        <w:t>Northern Crete motorway</w:t>
      </w:r>
    </w:p>
    <w:p w14:paraId="777AAFC8" w14:textId="77777777" w:rsidR="00E66305" w:rsidRPr="00EC4D14" w:rsidRDefault="00E66305" w:rsidP="00E66305">
      <w:pPr>
        <w:pStyle w:val="2"/>
        <w:ind w:left="1418"/>
        <w:rPr>
          <w:rFonts w:ascii="Arial" w:eastAsiaTheme="minorHAnsi" w:hAnsi="Arial" w:cs="Arial"/>
          <w:sz w:val="22"/>
          <w:szCs w:val="22"/>
          <w:lang w:val="en-US" w:eastAsia="en-US"/>
        </w:rPr>
      </w:pPr>
    </w:p>
    <w:p w14:paraId="38B68B30" w14:textId="77777777" w:rsidR="004375E7" w:rsidRPr="00EC4D14" w:rsidRDefault="004375E7" w:rsidP="00EC4D14">
      <w:pPr>
        <w:pStyle w:val="2"/>
        <w:numPr>
          <w:ilvl w:val="0"/>
          <w:numId w:val="5"/>
        </w:numPr>
        <w:ind w:left="1418" w:hanging="425"/>
        <w:rPr>
          <w:rFonts w:ascii="Arial" w:eastAsiaTheme="minorHAnsi" w:hAnsi="Arial" w:cs="Arial"/>
          <w:sz w:val="22"/>
          <w:szCs w:val="22"/>
          <w:lang w:val="en-US" w:eastAsia="en-US"/>
        </w:rPr>
      </w:pPr>
      <w:r w:rsidRPr="00EC4D14">
        <w:rPr>
          <w:rFonts w:ascii="Arial" w:eastAsiaTheme="minorHAnsi" w:hAnsi="Arial" w:cs="Arial"/>
          <w:sz w:val="22"/>
          <w:szCs w:val="22"/>
          <w:lang w:val="en-US" w:eastAsia="en-US"/>
        </w:rPr>
        <w:t xml:space="preserve">within six (6) years from the entry into force of the right, to cover 95% of the </w:t>
      </w:r>
      <w:r w:rsidR="00E66305">
        <w:rPr>
          <w:rFonts w:ascii="Arial" w:eastAsiaTheme="minorHAnsi" w:hAnsi="Arial" w:cs="Arial"/>
          <w:sz w:val="22"/>
          <w:szCs w:val="22"/>
          <w:lang w:val="en-US" w:eastAsia="en-US"/>
        </w:rPr>
        <w:t xml:space="preserve">abovementioned </w:t>
      </w:r>
      <w:r w:rsidRPr="00EC4D14">
        <w:rPr>
          <w:rFonts w:ascii="Arial" w:eastAsiaTheme="minorHAnsi" w:hAnsi="Arial" w:cs="Arial"/>
          <w:sz w:val="22"/>
          <w:szCs w:val="22"/>
          <w:lang w:val="en-US" w:eastAsia="en-US"/>
        </w:rPr>
        <w:t>major Greek national motorways</w:t>
      </w:r>
    </w:p>
    <w:p w14:paraId="4E0680D6" w14:textId="77777777" w:rsidR="004375E7" w:rsidRDefault="004375E7" w:rsidP="004375E7">
      <w:pPr>
        <w:pStyle w:val="2"/>
        <w:rPr>
          <w:color w:val="1F497D"/>
          <w:sz w:val="22"/>
          <w:szCs w:val="22"/>
        </w:rPr>
      </w:pPr>
    </w:p>
    <w:p w14:paraId="6A8967C2" w14:textId="77777777" w:rsidR="005252DD" w:rsidRDefault="005252DD">
      <w:pPr>
        <w:pStyle w:val="Default"/>
        <w:rPr>
          <w:rFonts w:ascii="Arial" w:hAnsi="Arial" w:cs="Arial"/>
          <w:sz w:val="22"/>
          <w:szCs w:val="22"/>
          <w:lang w:val="en-GB"/>
        </w:rPr>
      </w:pPr>
    </w:p>
    <w:p w14:paraId="345E6B66" w14:textId="77777777" w:rsidR="00FC0086" w:rsidRDefault="00FC0086" w:rsidP="00FC0086"/>
    <w:p w14:paraId="254AED71" w14:textId="77777777" w:rsidR="00410DDD" w:rsidRPr="004C78AF" w:rsidRDefault="00410DDD" w:rsidP="008A1AB5"/>
    <w:sectPr w:rsidR="00410DDD" w:rsidRPr="004C78AF" w:rsidSect="00871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73FC" w14:textId="77777777" w:rsidR="00551A0E" w:rsidRDefault="00551A0E" w:rsidP="008A1AB5">
      <w:pPr>
        <w:spacing w:after="0" w:line="240" w:lineRule="auto"/>
      </w:pPr>
      <w:r>
        <w:separator/>
      </w:r>
    </w:p>
  </w:endnote>
  <w:endnote w:type="continuationSeparator" w:id="0">
    <w:p w14:paraId="40D4282E" w14:textId="77777777" w:rsidR="00551A0E" w:rsidRDefault="00551A0E" w:rsidP="008A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8C28" w14:textId="77777777" w:rsidR="00551A0E" w:rsidRDefault="00551A0E" w:rsidP="008A1AB5">
      <w:pPr>
        <w:spacing w:after="0" w:line="240" w:lineRule="auto"/>
      </w:pPr>
      <w:r>
        <w:separator/>
      </w:r>
    </w:p>
  </w:footnote>
  <w:footnote w:type="continuationSeparator" w:id="0">
    <w:p w14:paraId="6B2D3727" w14:textId="77777777" w:rsidR="00551A0E" w:rsidRDefault="00551A0E" w:rsidP="008A1AB5">
      <w:pPr>
        <w:spacing w:after="0" w:line="240" w:lineRule="auto"/>
      </w:pPr>
      <w:r>
        <w:continuationSeparator/>
      </w:r>
    </w:p>
  </w:footnote>
  <w:footnote w:id="1">
    <w:p w14:paraId="02D2A9C4" w14:textId="77777777" w:rsidR="00FC5612" w:rsidRPr="00FC5612" w:rsidRDefault="00FC5612">
      <w:pPr>
        <w:pStyle w:val="FootnoteText"/>
        <w:rPr>
          <w:lang w:val="en-US"/>
        </w:rPr>
      </w:pPr>
      <w:r>
        <w:rPr>
          <w:rStyle w:val="FootnoteReference"/>
        </w:rPr>
        <w:footnoteRef/>
      </w:r>
      <w:hyperlink r:id="rId1" w:history="1">
        <w:r>
          <w:rPr>
            <w:rStyle w:val="Hyperlink"/>
            <w:lang w:val="en-US"/>
          </w:rPr>
          <w:t>https://ec.europa.eu/transport/infrastructure/tentec/tentec-portal/site/en/abouttent.htm</w:t>
        </w:r>
      </w:hyperlink>
      <w:r>
        <w:rPr>
          <w:lang w:val="en-US"/>
        </w:rPr>
        <w:t xml:space="preserve">,  </w:t>
      </w:r>
      <w:hyperlink r:id="rId2" w:history="1">
        <w:r>
          <w:rPr>
            <w:rStyle w:val="Hyperlink"/>
            <w:lang w:val="en-US"/>
          </w:rPr>
          <w:t>https://ec.europa.eu/transport/infrastructure/tentec/tentec-portal/site/maps_upload/annexes/annex1/Annex%20I%20-%20VOL%2023.pdf</w:t>
        </w:r>
      </w:hyperlink>
    </w:p>
  </w:footnote>
  <w:footnote w:id="2">
    <w:p w14:paraId="66C76F0F" w14:textId="77777777" w:rsidR="00E76F64" w:rsidRPr="00E76F64" w:rsidRDefault="00E76F64" w:rsidP="00E76F64">
      <w:pPr>
        <w:autoSpaceDE w:val="0"/>
        <w:autoSpaceDN w:val="0"/>
        <w:adjustRightInd w:val="0"/>
        <w:spacing w:after="0" w:line="240" w:lineRule="auto"/>
        <w:rPr>
          <w:sz w:val="16"/>
          <w:szCs w:val="16"/>
        </w:rPr>
      </w:pPr>
      <w:r w:rsidRPr="00E76F64">
        <w:rPr>
          <w:rStyle w:val="FootnoteReference"/>
          <w:sz w:val="16"/>
          <w:szCs w:val="16"/>
        </w:rPr>
        <w:footnoteRef/>
      </w:r>
      <w:r w:rsidRPr="00E76F64">
        <w:rPr>
          <w:sz w:val="16"/>
          <w:szCs w:val="16"/>
        </w:rPr>
        <w:t xml:space="preserve"> Identification and quantification of key socio-economic data to support strategic planning for the introduction of 5G in Europe</w:t>
      </w:r>
    </w:p>
  </w:footnote>
  <w:footnote w:id="3">
    <w:p w14:paraId="0BFC8EC3" w14:textId="77777777" w:rsidR="00A00E67" w:rsidRPr="00E76F64" w:rsidRDefault="00D67AB4" w:rsidP="00A00E67">
      <w:pPr>
        <w:pStyle w:val="FootnoteText"/>
        <w:rPr>
          <w:sz w:val="16"/>
          <w:szCs w:val="16"/>
          <w:lang w:val="en-US"/>
        </w:rPr>
      </w:pPr>
      <w:r w:rsidRPr="00E76F64">
        <w:rPr>
          <w:rStyle w:val="FootnoteReference"/>
          <w:sz w:val="16"/>
          <w:szCs w:val="16"/>
        </w:rPr>
        <w:footnoteRef/>
      </w:r>
      <w:r w:rsidR="00A00E67" w:rsidRPr="00E76F64">
        <w:rPr>
          <w:sz w:val="16"/>
          <w:szCs w:val="16"/>
          <w:lang w:val="en-US"/>
        </w:rPr>
        <w:t>COUNCIL RECOMMENDATION of 20 July 2020 on the 2020 National Reform Programme of Greece and delivering a Council opinion on the 2020 Stability Programme of Greece, (2020/C 282/08)</w:t>
      </w:r>
    </w:p>
    <w:p w14:paraId="72FD8011" w14:textId="77777777" w:rsidR="00D67AB4" w:rsidRPr="00A00E67" w:rsidRDefault="00D67AB4">
      <w:pPr>
        <w:pStyle w:val="FootnoteText"/>
        <w:rPr>
          <w:lang w:val="en-US"/>
        </w:rPr>
      </w:pPr>
    </w:p>
  </w:footnote>
  <w:footnote w:id="4">
    <w:p w14:paraId="0226F2FB" w14:textId="2D8B3BC5" w:rsidR="00716977" w:rsidRPr="00E76F64" w:rsidRDefault="00716977">
      <w:pPr>
        <w:pStyle w:val="FootnoteText"/>
        <w:rPr>
          <w:sz w:val="16"/>
          <w:szCs w:val="16"/>
          <w:lang w:val="en-US"/>
        </w:rPr>
      </w:pPr>
      <w:r w:rsidRPr="00E76F64">
        <w:rPr>
          <w:rStyle w:val="FootnoteReference"/>
          <w:sz w:val="16"/>
          <w:szCs w:val="16"/>
        </w:rPr>
        <w:footnoteRef/>
      </w:r>
      <w:r w:rsidRPr="00E76F64">
        <w:rPr>
          <w:sz w:val="16"/>
          <w:szCs w:val="16"/>
          <w:lang w:val="en-US"/>
        </w:rPr>
        <w:t xml:space="preserve"> Road traffic </w:t>
      </w:r>
      <w:r w:rsidR="007E2AA8" w:rsidRPr="00E76F64">
        <w:rPr>
          <w:sz w:val="16"/>
          <w:szCs w:val="16"/>
          <w:lang w:val="en-US"/>
        </w:rPr>
        <w:t>accidents:</w:t>
      </w:r>
      <w:r w:rsidR="00E76F64">
        <w:rPr>
          <w:sz w:val="16"/>
          <w:szCs w:val="16"/>
          <w:lang w:val="en-US"/>
        </w:rPr>
        <w:t xml:space="preserve"> </w:t>
      </w:r>
      <w:r w:rsidRPr="00E76F64">
        <w:rPr>
          <w:sz w:val="16"/>
          <w:szCs w:val="16"/>
          <w:lang w:val="en-US"/>
        </w:rPr>
        <w:t>year 2018, ELSTAT, January 2020</w:t>
      </w:r>
    </w:p>
  </w:footnote>
  <w:footnote w:id="5">
    <w:p w14:paraId="2B4442C1" w14:textId="77777777" w:rsidR="00716977" w:rsidRPr="00E76F64" w:rsidRDefault="00716977">
      <w:pPr>
        <w:pStyle w:val="FootnoteText"/>
        <w:rPr>
          <w:sz w:val="16"/>
          <w:szCs w:val="16"/>
          <w:lang w:val="en-US"/>
        </w:rPr>
      </w:pPr>
      <w:r w:rsidRPr="00E76F64">
        <w:rPr>
          <w:rStyle w:val="FootnoteReference"/>
          <w:sz w:val="16"/>
          <w:szCs w:val="16"/>
        </w:rPr>
        <w:footnoteRef/>
      </w:r>
      <w:r w:rsidRPr="00E76F64">
        <w:rPr>
          <w:sz w:val="16"/>
          <w:szCs w:val="16"/>
          <w:lang w:val="en-US"/>
        </w:rPr>
        <w:t xml:space="preserve"> 5G Americas White Paper: Cellular V2X Communications Towards 5G, 2018</w:t>
      </w:r>
    </w:p>
  </w:footnote>
  <w:footnote w:id="6">
    <w:p w14:paraId="74C1A919" w14:textId="77777777" w:rsidR="00E76F64" w:rsidRPr="00E76F64" w:rsidRDefault="00E76F64">
      <w:pPr>
        <w:pStyle w:val="FootnoteText"/>
        <w:rPr>
          <w:lang w:val="en-US"/>
        </w:rPr>
      </w:pPr>
      <w:r w:rsidRPr="00E76F64">
        <w:rPr>
          <w:rStyle w:val="FootnoteReference"/>
          <w:sz w:val="16"/>
          <w:szCs w:val="16"/>
        </w:rPr>
        <w:footnoteRef/>
      </w:r>
      <w:r w:rsidRPr="00E76F64">
        <w:rPr>
          <w:sz w:val="16"/>
          <w:szCs w:val="16"/>
          <w:lang w:val="en-US"/>
        </w:rPr>
        <w:t xml:space="preserve"> </w:t>
      </w:r>
      <w:r w:rsidRPr="00E76F64">
        <w:rPr>
          <w:rFonts w:eastAsiaTheme="minorEastAsia"/>
          <w:sz w:val="16"/>
          <w:szCs w:val="16"/>
          <w:lang w:val="en-US"/>
        </w:rPr>
        <w:t xml:space="preserve">Mackenzie, </w:t>
      </w:r>
      <w:proofErr w:type="gramStart"/>
      <w:r w:rsidRPr="00E76F64">
        <w:rPr>
          <w:rFonts w:eastAsiaTheme="minorEastAsia"/>
          <w:sz w:val="16"/>
          <w:szCs w:val="16"/>
          <w:lang w:val="en-US"/>
        </w:rPr>
        <w:t>Don  Wadud</w:t>
      </w:r>
      <w:proofErr w:type="gramEnd"/>
      <w:r w:rsidRPr="00E76F64">
        <w:rPr>
          <w:rFonts w:eastAsiaTheme="minorEastAsia"/>
          <w:sz w:val="16"/>
          <w:szCs w:val="16"/>
          <w:lang w:val="en-US"/>
        </w:rPr>
        <w:t>, Zia and Leiby, Paul, “A first order estimate of energy impacts of automated vehicles in the United States</w:t>
      </w:r>
    </w:p>
  </w:footnote>
  <w:footnote w:id="7">
    <w:p w14:paraId="448123C3" w14:textId="77777777" w:rsidR="00333233" w:rsidRPr="006925D7" w:rsidRDefault="00333233">
      <w:pPr>
        <w:pStyle w:val="FootnoteText"/>
        <w:rPr>
          <w:lang w:val="en-US"/>
        </w:rPr>
      </w:pPr>
      <w:r>
        <w:rPr>
          <w:rStyle w:val="FootnoteReference"/>
        </w:rPr>
        <w:footnoteRef/>
      </w:r>
      <w:r w:rsidR="006925D7">
        <w:rPr>
          <w:sz w:val="18"/>
          <w:szCs w:val="18"/>
          <w:lang w:val="en-US"/>
        </w:rPr>
        <w:t>Motorways</w:t>
      </w:r>
      <w:r w:rsidR="00DC035C" w:rsidRPr="00DC035C">
        <w:rPr>
          <w:sz w:val="18"/>
          <w:szCs w:val="18"/>
          <w:lang w:val="en-US"/>
        </w:rPr>
        <w:t xml:space="preserve"> </w:t>
      </w:r>
      <w:r w:rsidR="006925D7">
        <w:rPr>
          <w:sz w:val="18"/>
          <w:szCs w:val="18"/>
          <w:lang w:val="en-US"/>
        </w:rPr>
        <w:t>of</w:t>
      </w:r>
      <w:r w:rsidR="00DC035C" w:rsidRPr="00DC035C">
        <w:rPr>
          <w:sz w:val="18"/>
          <w:szCs w:val="18"/>
          <w:lang w:val="en-US"/>
        </w:rPr>
        <w:t xml:space="preserve"> </w:t>
      </w:r>
      <w:r w:rsidR="006925D7">
        <w:rPr>
          <w:sz w:val="18"/>
          <w:szCs w:val="18"/>
          <w:lang w:val="en-US"/>
        </w:rPr>
        <w:t>Greece</w:t>
      </w:r>
      <w:r w:rsidR="00DC035C" w:rsidRPr="00DC035C">
        <w:rPr>
          <w:sz w:val="18"/>
          <w:szCs w:val="18"/>
          <w:lang w:val="en-US"/>
        </w:rPr>
        <w:t xml:space="preserve"> </w:t>
      </w:r>
      <w:r w:rsidR="006925D7">
        <w:rPr>
          <w:sz w:val="18"/>
          <w:szCs w:val="18"/>
          <w:lang w:val="en-US"/>
        </w:rPr>
        <w:t>subject to 2015’s ministerial</w:t>
      </w:r>
      <w:r w:rsidR="00DC035C" w:rsidRPr="00DC035C">
        <w:rPr>
          <w:sz w:val="18"/>
          <w:szCs w:val="18"/>
          <w:lang w:val="en-US"/>
        </w:rPr>
        <w:t xml:space="preserve"> </w:t>
      </w:r>
      <w:proofErr w:type="gramStart"/>
      <w:r w:rsidR="006925D7">
        <w:rPr>
          <w:sz w:val="18"/>
          <w:szCs w:val="18"/>
          <w:lang w:val="en-US"/>
        </w:rPr>
        <w:t>decision</w:t>
      </w:r>
      <w:r w:rsidR="006925D7" w:rsidRPr="006925D7">
        <w:rPr>
          <w:sz w:val="18"/>
          <w:szCs w:val="18"/>
          <w:lang w:val="en-US"/>
        </w:rPr>
        <w:t>(</w:t>
      </w:r>
      <w:proofErr w:type="gramEnd"/>
      <w:r w:rsidR="006925D7">
        <w:rPr>
          <w:sz w:val="18"/>
          <w:szCs w:val="18"/>
          <w:lang w:val="en-US"/>
        </w:rPr>
        <w:t>Official Gazette</w:t>
      </w:r>
      <w:r w:rsidR="006925D7" w:rsidRPr="006925D7">
        <w:rPr>
          <w:sz w:val="18"/>
          <w:szCs w:val="18"/>
          <w:lang w:val="en-US"/>
        </w:rPr>
        <w:t xml:space="preserve"> 253/</w:t>
      </w:r>
      <w:r w:rsidR="006925D7">
        <w:rPr>
          <w:sz w:val="18"/>
          <w:szCs w:val="18"/>
        </w:rPr>
        <w:t>ΑΑΠ</w:t>
      </w:r>
      <w:r w:rsidR="006925D7">
        <w:rPr>
          <w:sz w:val="18"/>
          <w:szCs w:val="18"/>
          <w:lang w:val="en-US"/>
        </w:rPr>
        <w:t xml:space="preserve">, </w:t>
      </w:r>
      <w:r w:rsidR="006925D7" w:rsidRPr="006925D7">
        <w:rPr>
          <w:sz w:val="18"/>
          <w:szCs w:val="18"/>
          <w:lang w:val="en-US"/>
        </w:rPr>
        <w:t xml:space="preserve">2015) </w:t>
      </w:r>
    </w:p>
  </w:footnote>
  <w:footnote w:id="8">
    <w:p w14:paraId="2945B719" w14:textId="77777777" w:rsidR="00333233" w:rsidRPr="006925D7" w:rsidRDefault="00333233" w:rsidP="00333233">
      <w:pPr>
        <w:pStyle w:val="FootnoteText"/>
        <w:rPr>
          <w:lang w:val="en-US"/>
        </w:rPr>
      </w:pPr>
      <w:r>
        <w:rPr>
          <w:rStyle w:val="FootnoteReference"/>
        </w:rPr>
        <w:footnoteRef/>
      </w:r>
      <w:r w:rsidR="006925D7">
        <w:rPr>
          <w:sz w:val="18"/>
          <w:szCs w:val="18"/>
          <w:lang w:val="en-US"/>
        </w:rPr>
        <w:t>Official</w:t>
      </w:r>
      <w:r w:rsidR="00DC035C" w:rsidRPr="00DC035C">
        <w:rPr>
          <w:sz w:val="18"/>
          <w:szCs w:val="18"/>
          <w:lang w:val="en-US"/>
        </w:rPr>
        <w:t xml:space="preserve"> </w:t>
      </w:r>
      <w:r w:rsidR="006925D7">
        <w:rPr>
          <w:sz w:val="18"/>
          <w:szCs w:val="18"/>
          <w:lang w:val="en-US"/>
        </w:rPr>
        <w:t>Gazette</w:t>
      </w:r>
      <w:r w:rsidRPr="006925D7">
        <w:rPr>
          <w:sz w:val="18"/>
          <w:szCs w:val="18"/>
          <w:lang w:val="en-US"/>
        </w:rPr>
        <w:t xml:space="preserve"> 2631/</w:t>
      </w:r>
      <w:r>
        <w:rPr>
          <w:sz w:val="18"/>
          <w:szCs w:val="18"/>
        </w:rPr>
        <w:t>τ</w:t>
      </w:r>
      <w:r w:rsidRPr="006925D7">
        <w:rPr>
          <w:sz w:val="18"/>
          <w:szCs w:val="18"/>
          <w:lang w:val="en-US"/>
        </w:rPr>
        <w:t xml:space="preserve">. </w:t>
      </w:r>
      <w:r>
        <w:rPr>
          <w:sz w:val="18"/>
          <w:szCs w:val="18"/>
        </w:rPr>
        <w:t>Β</w:t>
      </w:r>
      <w:r w:rsidRPr="006925D7">
        <w:rPr>
          <w:sz w:val="18"/>
          <w:szCs w:val="18"/>
          <w:lang w:val="en-US"/>
        </w:rPr>
        <w:t xml:space="preserve">'/2008, </w:t>
      </w:r>
      <w:r w:rsidR="006925D7">
        <w:rPr>
          <w:sz w:val="18"/>
          <w:szCs w:val="18"/>
          <w:lang w:val="en-US"/>
        </w:rPr>
        <w:t>Coding and numbering of Greek Trans European Road Network</w:t>
      </w:r>
    </w:p>
  </w:footnote>
  <w:footnote w:id="9">
    <w:p w14:paraId="728E09F4" w14:textId="77777777" w:rsidR="001F1FF8" w:rsidRPr="006925D7" w:rsidRDefault="001F1FF8" w:rsidP="001F1FF8">
      <w:pPr>
        <w:pStyle w:val="FootnoteText"/>
        <w:rPr>
          <w:lang w:val="en-US"/>
        </w:rPr>
      </w:pPr>
      <w:r>
        <w:rPr>
          <w:rStyle w:val="FootnoteReference"/>
        </w:rPr>
        <w:footnoteRef/>
      </w:r>
      <w:r w:rsidR="006925D7">
        <w:rPr>
          <w:sz w:val="18"/>
          <w:szCs w:val="18"/>
          <w:lang w:val="en-US"/>
        </w:rPr>
        <w:t>List</w:t>
      </w:r>
      <w:r w:rsidR="00DC035C" w:rsidRPr="00DC035C">
        <w:rPr>
          <w:sz w:val="18"/>
          <w:szCs w:val="18"/>
          <w:lang w:val="en-US"/>
        </w:rPr>
        <w:t xml:space="preserve"> </w:t>
      </w:r>
      <w:r w:rsidR="006925D7">
        <w:rPr>
          <w:sz w:val="18"/>
          <w:szCs w:val="18"/>
          <w:lang w:val="en-US"/>
        </w:rPr>
        <w:t>of</w:t>
      </w:r>
      <w:r w:rsidR="00DC035C" w:rsidRPr="00DC035C">
        <w:rPr>
          <w:sz w:val="18"/>
          <w:szCs w:val="18"/>
          <w:lang w:val="en-US"/>
        </w:rPr>
        <w:t xml:space="preserve"> </w:t>
      </w:r>
      <w:r w:rsidR="006925D7">
        <w:rPr>
          <w:sz w:val="18"/>
          <w:szCs w:val="18"/>
          <w:lang w:val="en-US"/>
        </w:rPr>
        <w:t>national</w:t>
      </w:r>
      <w:r w:rsidR="00DC035C" w:rsidRPr="00DC035C">
        <w:rPr>
          <w:sz w:val="18"/>
          <w:szCs w:val="18"/>
          <w:lang w:val="en-US"/>
        </w:rPr>
        <w:t xml:space="preserve"> </w:t>
      </w:r>
      <w:r w:rsidR="006925D7">
        <w:rPr>
          <w:sz w:val="18"/>
          <w:szCs w:val="18"/>
          <w:lang w:val="en-US"/>
        </w:rPr>
        <w:t>roads</w:t>
      </w:r>
      <w:r w:rsidR="006925D7" w:rsidRPr="006925D7">
        <w:rPr>
          <w:sz w:val="18"/>
          <w:szCs w:val="18"/>
          <w:lang w:val="en-US"/>
        </w:rPr>
        <w:t xml:space="preserve"> (</w:t>
      </w:r>
      <w:r w:rsidR="006925D7">
        <w:rPr>
          <w:sz w:val="18"/>
          <w:szCs w:val="18"/>
          <w:lang w:val="en-US"/>
        </w:rPr>
        <w:t>Official Gazette</w:t>
      </w:r>
      <w:r w:rsidR="006925D7" w:rsidRPr="006925D7">
        <w:rPr>
          <w:sz w:val="18"/>
          <w:szCs w:val="18"/>
          <w:lang w:val="en-US"/>
        </w:rPr>
        <w:t xml:space="preserve"> 319/</w:t>
      </w:r>
      <w:r w:rsidR="006925D7">
        <w:rPr>
          <w:sz w:val="18"/>
          <w:szCs w:val="18"/>
        </w:rPr>
        <w:t>τ</w:t>
      </w:r>
      <w:r w:rsidR="006925D7" w:rsidRPr="006925D7">
        <w:rPr>
          <w:sz w:val="18"/>
          <w:szCs w:val="18"/>
          <w:lang w:val="en-US"/>
        </w:rPr>
        <w:t xml:space="preserve">. </w:t>
      </w:r>
      <w:r w:rsidR="006925D7">
        <w:rPr>
          <w:sz w:val="18"/>
          <w:szCs w:val="18"/>
        </w:rPr>
        <w:t>Β</w:t>
      </w:r>
      <w:r w:rsidR="006925D7" w:rsidRPr="006925D7">
        <w:rPr>
          <w:sz w:val="18"/>
          <w:szCs w:val="18"/>
          <w:lang w:val="en-US"/>
        </w:rPr>
        <w:t xml:space="preserve">'/1963) </w:t>
      </w:r>
      <w:r w:rsidR="006925D7">
        <w:rPr>
          <w:sz w:val="18"/>
          <w:szCs w:val="18"/>
          <w:lang w:val="en-US"/>
        </w:rPr>
        <w:t>&amp; list of additional national roads</w:t>
      </w:r>
      <w:r w:rsidRPr="006925D7">
        <w:rPr>
          <w:sz w:val="18"/>
          <w:szCs w:val="18"/>
          <w:lang w:val="en-US"/>
        </w:rPr>
        <w:t xml:space="preserve">(http://dlib.statistics.gr/Book/GRESYE_02_2007_00001.pdf) </w:t>
      </w:r>
    </w:p>
  </w:footnote>
  <w:footnote w:id="10">
    <w:p w14:paraId="4E20C79B" w14:textId="77777777" w:rsidR="00FF3F2B" w:rsidRPr="006925D7" w:rsidRDefault="00FF3F2B" w:rsidP="00FF3F2B">
      <w:pPr>
        <w:pStyle w:val="Default"/>
        <w:rPr>
          <w:sz w:val="18"/>
          <w:szCs w:val="18"/>
          <w:lang w:val="en-US"/>
        </w:rPr>
      </w:pPr>
      <w:r>
        <w:rPr>
          <w:rStyle w:val="FootnoteReference"/>
        </w:rPr>
        <w:footnoteRef/>
      </w:r>
      <w:r w:rsidR="006925D7">
        <w:rPr>
          <w:sz w:val="18"/>
          <w:szCs w:val="18"/>
          <w:lang w:val="en-US"/>
        </w:rPr>
        <w:t>List</w:t>
      </w:r>
      <w:r w:rsidR="00DC035C" w:rsidRPr="00DC035C">
        <w:rPr>
          <w:sz w:val="18"/>
          <w:szCs w:val="18"/>
          <w:lang w:val="en-US"/>
        </w:rPr>
        <w:t xml:space="preserve"> </w:t>
      </w:r>
      <w:r w:rsidR="006925D7">
        <w:rPr>
          <w:sz w:val="18"/>
          <w:szCs w:val="18"/>
          <w:lang w:val="en-US"/>
        </w:rPr>
        <w:t>of</w:t>
      </w:r>
      <w:r w:rsidR="00DC035C" w:rsidRPr="00DC035C">
        <w:rPr>
          <w:sz w:val="18"/>
          <w:szCs w:val="18"/>
          <w:lang w:val="en-US"/>
        </w:rPr>
        <w:t xml:space="preserve"> </w:t>
      </w:r>
      <w:r w:rsidR="006925D7">
        <w:rPr>
          <w:sz w:val="18"/>
          <w:szCs w:val="18"/>
          <w:lang w:val="en-US"/>
        </w:rPr>
        <w:t>national</w:t>
      </w:r>
      <w:r w:rsidR="00DC035C" w:rsidRPr="00DC035C">
        <w:rPr>
          <w:sz w:val="18"/>
          <w:szCs w:val="18"/>
          <w:lang w:val="en-US"/>
        </w:rPr>
        <w:t xml:space="preserve"> </w:t>
      </w:r>
      <w:r w:rsidR="006925D7">
        <w:rPr>
          <w:sz w:val="18"/>
          <w:szCs w:val="18"/>
          <w:lang w:val="en-US"/>
        </w:rPr>
        <w:t>roads</w:t>
      </w:r>
      <w:r w:rsidR="006925D7" w:rsidRPr="006925D7">
        <w:rPr>
          <w:sz w:val="18"/>
          <w:szCs w:val="18"/>
          <w:lang w:val="en-US"/>
        </w:rPr>
        <w:t xml:space="preserve"> (</w:t>
      </w:r>
      <w:r w:rsidR="006925D7">
        <w:rPr>
          <w:sz w:val="18"/>
          <w:szCs w:val="18"/>
          <w:lang w:val="en-US"/>
        </w:rPr>
        <w:t>Official Gazette</w:t>
      </w:r>
      <w:r w:rsidR="006925D7" w:rsidRPr="006925D7">
        <w:rPr>
          <w:sz w:val="18"/>
          <w:szCs w:val="18"/>
          <w:lang w:val="en-US"/>
        </w:rPr>
        <w:t xml:space="preserve"> 319/</w:t>
      </w:r>
      <w:r w:rsidR="006925D7">
        <w:rPr>
          <w:sz w:val="18"/>
          <w:szCs w:val="18"/>
        </w:rPr>
        <w:t>τ</w:t>
      </w:r>
      <w:r w:rsidR="006925D7" w:rsidRPr="006925D7">
        <w:rPr>
          <w:sz w:val="18"/>
          <w:szCs w:val="18"/>
          <w:lang w:val="en-US"/>
        </w:rPr>
        <w:t xml:space="preserve">. </w:t>
      </w:r>
      <w:r w:rsidR="006925D7">
        <w:rPr>
          <w:sz w:val="18"/>
          <w:szCs w:val="18"/>
        </w:rPr>
        <w:t>Β</w:t>
      </w:r>
      <w:r w:rsidR="006925D7" w:rsidRPr="006925D7">
        <w:rPr>
          <w:sz w:val="18"/>
          <w:szCs w:val="18"/>
          <w:lang w:val="en-US"/>
        </w:rPr>
        <w:t xml:space="preserve">'/1963) </w:t>
      </w:r>
      <w:r w:rsidR="006925D7">
        <w:rPr>
          <w:sz w:val="18"/>
          <w:szCs w:val="18"/>
          <w:lang w:val="en-US"/>
        </w:rPr>
        <w:t>&amp; list of additional national roads</w:t>
      </w:r>
      <w:r w:rsidRPr="006925D7">
        <w:rPr>
          <w:sz w:val="18"/>
          <w:szCs w:val="18"/>
          <w:lang w:val="en-US"/>
        </w:rPr>
        <w:t xml:space="preserve">(http://dlib.statistics.gr/Book/GRESYE_02_2007_00001.pdf) </w:t>
      </w:r>
    </w:p>
    <w:p w14:paraId="5A9669C9" w14:textId="77777777" w:rsidR="00FF3F2B" w:rsidRPr="006925D7" w:rsidRDefault="006925D7" w:rsidP="00FF3F2B">
      <w:pPr>
        <w:pStyle w:val="FootnoteText"/>
        <w:rPr>
          <w:lang w:val="en-US"/>
        </w:rPr>
      </w:pPr>
      <w:r>
        <w:rPr>
          <w:sz w:val="18"/>
          <w:szCs w:val="18"/>
          <w:lang w:val="en-US"/>
        </w:rPr>
        <w:t>Motorways</w:t>
      </w:r>
      <w:r w:rsidR="00DC035C" w:rsidRPr="00DC035C">
        <w:rPr>
          <w:sz w:val="18"/>
          <w:szCs w:val="18"/>
          <w:lang w:val="en-US"/>
        </w:rPr>
        <w:t xml:space="preserve"> </w:t>
      </w:r>
      <w:r>
        <w:rPr>
          <w:sz w:val="18"/>
          <w:szCs w:val="18"/>
          <w:lang w:val="en-US"/>
        </w:rPr>
        <w:t>of</w:t>
      </w:r>
      <w:r w:rsidR="00DC035C" w:rsidRPr="00DC035C">
        <w:rPr>
          <w:sz w:val="18"/>
          <w:szCs w:val="18"/>
          <w:lang w:val="en-US"/>
        </w:rPr>
        <w:t xml:space="preserve"> </w:t>
      </w:r>
      <w:r>
        <w:rPr>
          <w:sz w:val="18"/>
          <w:szCs w:val="18"/>
          <w:lang w:val="en-US"/>
        </w:rPr>
        <w:t>Greece</w:t>
      </w:r>
      <w:r w:rsidR="00DC035C" w:rsidRPr="00DC035C">
        <w:rPr>
          <w:sz w:val="18"/>
          <w:szCs w:val="18"/>
          <w:lang w:val="en-US"/>
        </w:rPr>
        <w:t xml:space="preserve"> </w:t>
      </w:r>
      <w:r>
        <w:rPr>
          <w:sz w:val="18"/>
          <w:szCs w:val="18"/>
          <w:lang w:val="en-US"/>
        </w:rPr>
        <w:t>subject to 2015’s ministerial</w:t>
      </w:r>
      <w:r w:rsidR="00DC035C" w:rsidRPr="00DC035C">
        <w:rPr>
          <w:sz w:val="18"/>
          <w:szCs w:val="18"/>
          <w:lang w:val="en-US"/>
        </w:rPr>
        <w:t xml:space="preserve"> </w:t>
      </w:r>
      <w:proofErr w:type="gramStart"/>
      <w:r>
        <w:rPr>
          <w:sz w:val="18"/>
          <w:szCs w:val="18"/>
          <w:lang w:val="en-US"/>
        </w:rPr>
        <w:t>decision</w:t>
      </w:r>
      <w:r w:rsidRPr="006925D7">
        <w:rPr>
          <w:sz w:val="18"/>
          <w:szCs w:val="18"/>
          <w:lang w:val="en-US"/>
        </w:rPr>
        <w:t>(</w:t>
      </w:r>
      <w:proofErr w:type="gramEnd"/>
      <w:r>
        <w:rPr>
          <w:sz w:val="18"/>
          <w:szCs w:val="18"/>
          <w:lang w:val="en-US"/>
        </w:rPr>
        <w:t>Official Gazette</w:t>
      </w:r>
      <w:r w:rsidRPr="006925D7">
        <w:rPr>
          <w:sz w:val="18"/>
          <w:szCs w:val="18"/>
          <w:lang w:val="en-US"/>
        </w:rPr>
        <w:t xml:space="preserve"> 253/</w:t>
      </w:r>
      <w:r>
        <w:rPr>
          <w:sz w:val="18"/>
          <w:szCs w:val="18"/>
        </w:rPr>
        <w:t>ΑΑΠ</w:t>
      </w:r>
      <w:r>
        <w:rPr>
          <w:sz w:val="18"/>
          <w:szCs w:val="18"/>
          <w:lang w:val="en-US"/>
        </w:rPr>
        <w:t xml:space="preserve">, </w:t>
      </w:r>
      <w:r w:rsidRPr="006925D7">
        <w:rPr>
          <w:sz w:val="18"/>
          <w:szCs w:val="18"/>
          <w:lang w:val="en-US"/>
        </w:rPr>
        <w:t xml:space="preserve">2015) </w:t>
      </w:r>
    </w:p>
  </w:footnote>
  <w:footnote w:id="11">
    <w:p w14:paraId="5765341C" w14:textId="77777777" w:rsidR="00E04258" w:rsidRPr="006925D7" w:rsidRDefault="00E04258">
      <w:pPr>
        <w:pStyle w:val="FootnoteText"/>
        <w:rPr>
          <w:lang w:val="en-US"/>
        </w:rPr>
      </w:pPr>
      <w:r>
        <w:rPr>
          <w:rStyle w:val="FootnoteReference"/>
        </w:rPr>
        <w:footnoteRef/>
      </w:r>
      <w:r w:rsidR="006925D7">
        <w:rPr>
          <w:sz w:val="18"/>
          <w:szCs w:val="18"/>
          <w:lang w:val="en-US"/>
        </w:rPr>
        <w:t>List</w:t>
      </w:r>
      <w:r w:rsidR="00DC035C">
        <w:rPr>
          <w:sz w:val="18"/>
          <w:szCs w:val="18"/>
          <w:lang w:val="en-US"/>
        </w:rPr>
        <w:t xml:space="preserve"> </w:t>
      </w:r>
      <w:r w:rsidR="006925D7">
        <w:rPr>
          <w:sz w:val="18"/>
          <w:szCs w:val="18"/>
          <w:lang w:val="en-US"/>
        </w:rPr>
        <w:t>of</w:t>
      </w:r>
      <w:r w:rsidR="00DC035C">
        <w:rPr>
          <w:sz w:val="18"/>
          <w:szCs w:val="18"/>
          <w:lang w:val="en-US"/>
        </w:rPr>
        <w:t xml:space="preserve"> </w:t>
      </w:r>
      <w:r w:rsidR="006925D7">
        <w:rPr>
          <w:sz w:val="18"/>
          <w:szCs w:val="18"/>
          <w:lang w:val="en-US"/>
        </w:rPr>
        <w:t>national</w:t>
      </w:r>
      <w:r w:rsidR="00DC035C">
        <w:rPr>
          <w:sz w:val="18"/>
          <w:szCs w:val="18"/>
          <w:lang w:val="en-US"/>
        </w:rPr>
        <w:t xml:space="preserve"> </w:t>
      </w:r>
      <w:r w:rsidR="006925D7">
        <w:rPr>
          <w:sz w:val="18"/>
          <w:szCs w:val="18"/>
          <w:lang w:val="en-US"/>
        </w:rPr>
        <w:t>roads</w:t>
      </w:r>
      <w:r w:rsidRPr="006925D7">
        <w:rPr>
          <w:sz w:val="18"/>
          <w:szCs w:val="18"/>
          <w:lang w:val="en-US"/>
        </w:rPr>
        <w:t xml:space="preserve"> (</w:t>
      </w:r>
      <w:r w:rsidR="006925D7">
        <w:rPr>
          <w:sz w:val="18"/>
          <w:szCs w:val="18"/>
          <w:lang w:val="en-US"/>
        </w:rPr>
        <w:t>Official Gazette</w:t>
      </w:r>
      <w:r w:rsidRPr="006925D7">
        <w:rPr>
          <w:sz w:val="18"/>
          <w:szCs w:val="18"/>
          <w:lang w:val="en-US"/>
        </w:rPr>
        <w:t xml:space="preserve"> 319/</w:t>
      </w:r>
      <w:r>
        <w:rPr>
          <w:sz w:val="18"/>
          <w:szCs w:val="18"/>
        </w:rPr>
        <w:t>τ</w:t>
      </w:r>
      <w:r w:rsidRPr="006925D7">
        <w:rPr>
          <w:sz w:val="18"/>
          <w:szCs w:val="18"/>
          <w:lang w:val="en-US"/>
        </w:rPr>
        <w:t xml:space="preserve">. </w:t>
      </w:r>
      <w:r>
        <w:rPr>
          <w:sz w:val="18"/>
          <w:szCs w:val="18"/>
        </w:rPr>
        <w:t>Β</w:t>
      </w:r>
      <w:r w:rsidRPr="006925D7">
        <w:rPr>
          <w:sz w:val="18"/>
          <w:szCs w:val="18"/>
          <w:lang w:val="en-US"/>
        </w:rPr>
        <w:t xml:space="preserve">'/1963) </w:t>
      </w:r>
      <w:r w:rsidR="006925D7">
        <w:rPr>
          <w:sz w:val="18"/>
          <w:szCs w:val="18"/>
          <w:lang w:val="en-US"/>
        </w:rPr>
        <w:t>&amp; list of additional national roads</w:t>
      </w:r>
      <w:r w:rsidRPr="006925D7">
        <w:rPr>
          <w:sz w:val="18"/>
          <w:szCs w:val="18"/>
          <w:lang w:val="en-US"/>
        </w:rPr>
        <w:t xml:space="preserve"> (http://dlib.statistics.gr/Book/GRESYE_02_2007_00001.pdf) </w:t>
      </w:r>
    </w:p>
  </w:footnote>
  <w:footnote w:id="12">
    <w:p w14:paraId="608D0C2F" w14:textId="77777777" w:rsidR="00E04258" w:rsidRPr="006925D7" w:rsidRDefault="00E04258">
      <w:pPr>
        <w:pStyle w:val="FootnoteText"/>
        <w:rPr>
          <w:lang w:val="en-US"/>
        </w:rPr>
      </w:pPr>
      <w:r>
        <w:rPr>
          <w:rStyle w:val="FootnoteReference"/>
        </w:rPr>
        <w:footnoteRef/>
      </w:r>
      <w:r w:rsidR="006925D7">
        <w:rPr>
          <w:sz w:val="18"/>
          <w:szCs w:val="18"/>
          <w:lang w:val="en-US"/>
        </w:rPr>
        <w:t>Motorways</w:t>
      </w:r>
      <w:r w:rsidR="00DC035C">
        <w:rPr>
          <w:sz w:val="18"/>
          <w:szCs w:val="18"/>
          <w:lang w:val="en-US"/>
        </w:rPr>
        <w:t xml:space="preserve"> </w:t>
      </w:r>
      <w:r w:rsidR="006925D7">
        <w:rPr>
          <w:sz w:val="18"/>
          <w:szCs w:val="18"/>
          <w:lang w:val="en-US"/>
        </w:rPr>
        <w:t>of</w:t>
      </w:r>
      <w:r w:rsidR="00DC035C">
        <w:rPr>
          <w:sz w:val="18"/>
          <w:szCs w:val="18"/>
          <w:lang w:val="en-US"/>
        </w:rPr>
        <w:t xml:space="preserve"> </w:t>
      </w:r>
      <w:r w:rsidR="006925D7">
        <w:rPr>
          <w:sz w:val="18"/>
          <w:szCs w:val="18"/>
          <w:lang w:val="en-US"/>
        </w:rPr>
        <w:t>Greece</w:t>
      </w:r>
      <w:r w:rsidR="00DC035C">
        <w:rPr>
          <w:sz w:val="18"/>
          <w:szCs w:val="18"/>
          <w:lang w:val="en-US"/>
        </w:rPr>
        <w:t xml:space="preserve"> </w:t>
      </w:r>
      <w:r w:rsidR="006925D7">
        <w:rPr>
          <w:sz w:val="18"/>
          <w:szCs w:val="18"/>
          <w:lang w:val="en-US"/>
        </w:rPr>
        <w:t>subject to 2015’s ministerial</w:t>
      </w:r>
      <w:r w:rsidR="00DC035C">
        <w:rPr>
          <w:sz w:val="18"/>
          <w:szCs w:val="18"/>
          <w:lang w:val="en-US"/>
        </w:rPr>
        <w:t xml:space="preserve"> </w:t>
      </w:r>
      <w:proofErr w:type="gramStart"/>
      <w:r w:rsidR="006925D7">
        <w:rPr>
          <w:sz w:val="18"/>
          <w:szCs w:val="18"/>
          <w:lang w:val="en-US"/>
        </w:rPr>
        <w:t>decision</w:t>
      </w:r>
      <w:r w:rsidRPr="006925D7">
        <w:rPr>
          <w:sz w:val="18"/>
          <w:szCs w:val="18"/>
          <w:lang w:val="en-US"/>
        </w:rPr>
        <w:t>(</w:t>
      </w:r>
      <w:proofErr w:type="gramEnd"/>
      <w:r w:rsidR="006925D7">
        <w:rPr>
          <w:sz w:val="18"/>
          <w:szCs w:val="18"/>
          <w:lang w:val="en-US"/>
        </w:rPr>
        <w:t>Official Gazette</w:t>
      </w:r>
      <w:r w:rsidRPr="006925D7">
        <w:rPr>
          <w:sz w:val="18"/>
          <w:szCs w:val="18"/>
          <w:lang w:val="en-US"/>
        </w:rPr>
        <w:t xml:space="preserve"> 253/</w:t>
      </w:r>
      <w:r>
        <w:rPr>
          <w:sz w:val="18"/>
          <w:szCs w:val="18"/>
        </w:rPr>
        <w:t>ΑΑΠ</w:t>
      </w:r>
      <w:r w:rsidR="006925D7">
        <w:rPr>
          <w:sz w:val="18"/>
          <w:szCs w:val="18"/>
          <w:lang w:val="en-US"/>
        </w:rPr>
        <w:t xml:space="preserve">, </w:t>
      </w:r>
      <w:r w:rsidRPr="006925D7">
        <w:rPr>
          <w:sz w:val="18"/>
          <w:szCs w:val="18"/>
          <w:lang w:val="en-US"/>
        </w:rPr>
        <w:t xml:space="preserve">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8D0"/>
    <w:multiLevelType w:val="hybridMultilevel"/>
    <w:tmpl w:val="A8462BE4"/>
    <w:lvl w:ilvl="0" w:tplc="043244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E5B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785B77"/>
    <w:multiLevelType w:val="hybridMultilevel"/>
    <w:tmpl w:val="162AA49E"/>
    <w:lvl w:ilvl="0" w:tplc="BB645A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4A23"/>
    <w:multiLevelType w:val="hybridMultilevel"/>
    <w:tmpl w:val="01EC0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485A38"/>
    <w:multiLevelType w:val="hybridMultilevel"/>
    <w:tmpl w:val="4CD8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C562B"/>
    <w:multiLevelType w:val="hybridMultilevel"/>
    <w:tmpl w:val="D08E7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6D36EB"/>
    <w:multiLevelType w:val="hybridMultilevel"/>
    <w:tmpl w:val="855455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CF84786"/>
    <w:multiLevelType w:val="hybridMultilevel"/>
    <w:tmpl w:val="A23C5CD4"/>
    <w:lvl w:ilvl="0" w:tplc="55621866">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E225559"/>
    <w:multiLevelType w:val="hybridMultilevel"/>
    <w:tmpl w:val="D88E7FF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9" w15:restartNumberingAfterBreak="0">
    <w:nsid w:val="589D375A"/>
    <w:multiLevelType w:val="hybridMultilevel"/>
    <w:tmpl w:val="90D47E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8F1124E"/>
    <w:multiLevelType w:val="hybridMultilevel"/>
    <w:tmpl w:val="F75AC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10"/>
  </w:num>
  <w:num w:numId="6">
    <w:abstractNumId w:val="6"/>
  </w:num>
  <w:num w:numId="7">
    <w:abstractNumId w:val="9"/>
  </w:num>
  <w:num w:numId="8">
    <w:abstractNumId w:val="5"/>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B5"/>
    <w:rsid w:val="00050EBC"/>
    <w:rsid w:val="000B587B"/>
    <w:rsid w:val="000C4A5D"/>
    <w:rsid w:val="000D2C15"/>
    <w:rsid w:val="001240BB"/>
    <w:rsid w:val="0016571E"/>
    <w:rsid w:val="001F1FF8"/>
    <w:rsid w:val="001F3745"/>
    <w:rsid w:val="0028174B"/>
    <w:rsid w:val="00293AD5"/>
    <w:rsid w:val="002B1710"/>
    <w:rsid w:val="002E528D"/>
    <w:rsid w:val="00331D57"/>
    <w:rsid w:val="00333233"/>
    <w:rsid w:val="00350EED"/>
    <w:rsid w:val="00365D39"/>
    <w:rsid w:val="00367090"/>
    <w:rsid w:val="003758D7"/>
    <w:rsid w:val="0038601C"/>
    <w:rsid w:val="003879E1"/>
    <w:rsid w:val="003E6897"/>
    <w:rsid w:val="00410DDD"/>
    <w:rsid w:val="00421904"/>
    <w:rsid w:val="00434D41"/>
    <w:rsid w:val="004375E7"/>
    <w:rsid w:val="00445683"/>
    <w:rsid w:val="0045186A"/>
    <w:rsid w:val="00477CF2"/>
    <w:rsid w:val="00480AF2"/>
    <w:rsid w:val="00481834"/>
    <w:rsid w:val="0049263B"/>
    <w:rsid w:val="004A5342"/>
    <w:rsid w:val="004C78AF"/>
    <w:rsid w:val="004F115F"/>
    <w:rsid w:val="00511E52"/>
    <w:rsid w:val="00520CD5"/>
    <w:rsid w:val="0052465C"/>
    <w:rsid w:val="0052470D"/>
    <w:rsid w:val="005252DD"/>
    <w:rsid w:val="00525891"/>
    <w:rsid w:val="00551A0E"/>
    <w:rsid w:val="005539EC"/>
    <w:rsid w:val="005751A2"/>
    <w:rsid w:val="00593B26"/>
    <w:rsid w:val="005D3A6A"/>
    <w:rsid w:val="005F2659"/>
    <w:rsid w:val="005F2C54"/>
    <w:rsid w:val="006107A7"/>
    <w:rsid w:val="0063427D"/>
    <w:rsid w:val="00686D8F"/>
    <w:rsid w:val="006925D7"/>
    <w:rsid w:val="006A5E59"/>
    <w:rsid w:val="006F2B1A"/>
    <w:rsid w:val="00716977"/>
    <w:rsid w:val="00753055"/>
    <w:rsid w:val="007552CF"/>
    <w:rsid w:val="00794DB4"/>
    <w:rsid w:val="007E2AA8"/>
    <w:rsid w:val="0080351E"/>
    <w:rsid w:val="0081402A"/>
    <w:rsid w:val="008223C0"/>
    <w:rsid w:val="008312D6"/>
    <w:rsid w:val="00840046"/>
    <w:rsid w:val="00871F1A"/>
    <w:rsid w:val="00873D8B"/>
    <w:rsid w:val="008927DB"/>
    <w:rsid w:val="008A1AB5"/>
    <w:rsid w:val="008A4F5F"/>
    <w:rsid w:val="008B789C"/>
    <w:rsid w:val="008F517E"/>
    <w:rsid w:val="009028D1"/>
    <w:rsid w:val="00902A9E"/>
    <w:rsid w:val="00963064"/>
    <w:rsid w:val="00983253"/>
    <w:rsid w:val="009935A4"/>
    <w:rsid w:val="009C4AE6"/>
    <w:rsid w:val="00A00E67"/>
    <w:rsid w:val="00A01DA1"/>
    <w:rsid w:val="00A234B2"/>
    <w:rsid w:val="00A245AB"/>
    <w:rsid w:val="00A30D76"/>
    <w:rsid w:val="00A42162"/>
    <w:rsid w:val="00A45825"/>
    <w:rsid w:val="00A6077D"/>
    <w:rsid w:val="00A75D74"/>
    <w:rsid w:val="00A80EDD"/>
    <w:rsid w:val="00AA6EA9"/>
    <w:rsid w:val="00AB46F9"/>
    <w:rsid w:val="00AF0727"/>
    <w:rsid w:val="00AF48DE"/>
    <w:rsid w:val="00AF4BA7"/>
    <w:rsid w:val="00B148B5"/>
    <w:rsid w:val="00B74AEE"/>
    <w:rsid w:val="00BF1FBF"/>
    <w:rsid w:val="00C35AC1"/>
    <w:rsid w:val="00C42E8A"/>
    <w:rsid w:val="00C4449A"/>
    <w:rsid w:val="00C76067"/>
    <w:rsid w:val="00CB5AA8"/>
    <w:rsid w:val="00CE6F1C"/>
    <w:rsid w:val="00D60142"/>
    <w:rsid w:val="00D67AB4"/>
    <w:rsid w:val="00D91CA1"/>
    <w:rsid w:val="00DC035C"/>
    <w:rsid w:val="00E04258"/>
    <w:rsid w:val="00E50503"/>
    <w:rsid w:val="00E66305"/>
    <w:rsid w:val="00E76F64"/>
    <w:rsid w:val="00EC4D14"/>
    <w:rsid w:val="00ED1316"/>
    <w:rsid w:val="00ED4656"/>
    <w:rsid w:val="00F04D4E"/>
    <w:rsid w:val="00F27240"/>
    <w:rsid w:val="00F46FD6"/>
    <w:rsid w:val="00F75C86"/>
    <w:rsid w:val="00FC0086"/>
    <w:rsid w:val="00FC44B9"/>
    <w:rsid w:val="00FC5612"/>
    <w:rsid w:val="00FE2146"/>
    <w:rsid w:val="00FF02A1"/>
    <w:rsid w:val="00FF3F2B"/>
    <w:rsid w:val="00FF42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0FE7"/>
  <w15:docId w15:val="{3C580B49-C4E1-4625-B402-81383BB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A1AB5"/>
    <w:pPr>
      <w:spacing w:after="0" w:line="276" w:lineRule="auto"/>
    </w:pPr>
    <w:rPr>
      <w:rFonts w:ascii="Arial" w:eastAsia="Arial" w:hAnsi="Arial" w:cs="Arial"/>
      <w:lang w:val="en-GB" w:eastAsia="el-GR"/>
    </w:rPr>
  </w:style>
  <w:style w:type="paragraph" w:styleId="ListParagraph">
    <w:name w:val="List Paragraph"/>
    <w:aliases w:val="Itemize,Numbered List,1st level - Bullet List Paragraph,Lettre d'introduction,Paragrafo elenco,Paragraph,Bullet EY,Bullet point 1,DE_HEADING3,Bullets,Medium Grid 1 - Accent 21,Fiche List Paragraph,Dot pt,F5 List Paragraph"/>
    <w:basedOn w:val="Normal"/>
    <w:link w:val="ListParagraphChar"/>
    <w:uiPriority w:val="34"/>
    <w:qFormat/>
    <w:rsid w:val="008A1AB5"/>
    <w:pPr>
      <w:ind w:left="720"/>
      <w:contextualSpacing/>
    </w:pPr>
  </w:style>
  <w:style w:type="character" w:styleId="Hyperlink">
    <w:name w:val="Hyperlink"/>
    <w:basedOn w:val="DefaultParagraphFont"/>
    <w:uiPriority w:val="99"/>
    <w:unhideWhenUsed/>
    <w:rsid w:val="008A1AB5"/>
    <w:rPr>
      <w:color w:val="0563C1" w:themeColor="hyperlink"/>
      <w:u w:val="single"/>
    </w:rPr>
  </w:style>
  <w:style w:type="paragraph" w:styleId="FootnoteText">
    <w:name w:val="footnote text"/>
    <w:basedOn w:val="Normal"/>
    <w:link w:val="FootnoteTextChar"/>
    <w:uiPriority w:val="99"/>
    <w:semiHidden/>
    <w:unhideWhenUsed/>
    <w:rsid w:val="008A1AB5"/>
    <w:pPr>
      <w:spacing w:after="0" w:line="240" w:lineRule="auto"/>
    </w:pPr>
    <w:rPr>
      <w:sz w:val="20"/>
      <w:szCs w:val="20"/>
      <w:lang w:val="el-GR"/>
    </w:rPr>
  </w:style>
  <w:style w:type="character" w:customStyle="1" w:styleId="FootnoteTextChar">
    <w:name w:val="Footnote Text Char"/>
    <w:basedOn w:val="DefaultParagraphFont"/>
    <w:link w:val="FootnoteText"/>
    <w:uiPriority w:val="99"/>
    <w:semiHidden/>
    <w:rsid w:val="008A1AB5"/>
    <w:rPr>
      <w:sz w:val="20"/>
      <w:szCs w:val="20"/>
      <w:lang w:val="el-GR"/>
    </w:rPr>
  </w:style>
  <w:style w:type="character" w:styleId="FootnoteReference">
    <w:name w:val="footnote reference"/>
    <w:basedOn w:val="DefaultParagraphFont"/>
    <w:uiPriority w:val="99"/>
    <w:semiHidden/>
    <w:unhideWhenUsed/>
    <w:rsid w:val="008A1AB5"/>
    <w:rPr>
      <w:vertAlign w:val="superscript"/>
    </w:rPr>
  </w:style>
  <w:style w:type="paragraph" w:styleId="NormalWeb">
    <w:name w:val="Normal (Web)"/>
    <w:basedOn w:val="Normal"/>
    <w:uiPriority w:val="99"/>
    <w:unhideWhenUsed/>
    <w:rsid w:val="004C7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Ανεπίλυτη αναφορά1"/>
    <w:basedOn w:val="DefaultParagraphFont"/>
    <w:uiPriority w:val="99"/>
    <w:semiHidden/>
    <w:unhideWhenUsed/>
    <w:rsid w:val="004C78AF"/>
    <w:rPr>
      <w:color w:val="605E5C"/>
      <w:shd w:val="clear" w:color="auto" w:fill="E1DFDD"/>
    </w:rPr>
  </w:style>
  <w:style w:type="character" w:styleId="FollowedHyperlink">
    <w:name w:val="FollowedHyperlink"/>
    <w:basedOn w:val="DefaultParagraphFont"/>
    <w:uiPriority w:val="99"/>
    <w:semiHidden/>
    <w:unhideWhenUsed/>
    <w:rsid w:val="0063427D"/>
    <w:rPr>
      <w:color w:val="954F72" w:themeColor="followedHyperlink"/>
      <w:u w:val="single"/>
    </w:rPr>
  </w:style>
  <w:style w:type="paragraph" w:customStyle="1" w:styleId="TableParagraph">
    <w:name w:val="Table Paragraph"/>
    <w:basedOn w:val="Normal"/>
    <w:uiPriority w:val="1"/>
    <w:qFormat/>
    <w:rsid w:val="00FC0086"/>
    <w:pPr>
      <w:widowControl w:val="0"/>
      <w:autoSpaceDE w:val="0"/>
      <w:autoSpaceDN w:val="0"/>
      <w:spacing w:before="134" w:after="0" w:line="240" w:lineRule="auto"/>
      <w:jc w:val="center"/>
    </w:pPr>
    <w:rPr>
      <w:rFonts w:ascii="Georgia" w:eastAsia="Georgia" w:hAnsi="Georgia" w:cs="Georgia"/>
    </w:rPr>
  </w:style>
  <w:style w:type="paragraph" w:styleId="NoSpacing">
    <w:name w:val="No Spacing"/>
    <w:uiPriority w:val="1"/>
    <w:qFormat/>
    <w:rsid w:val="00F46FD6"/>
    <w:pPr>
      <w:spacing w:after="0" w:line="240" w:lineRule="auto"/>
    </w:pPr>
    <w:rPr>
      <w:lang w:val="en-GB"/>
    </w:rPr>
  </w:style>
  <w:style w:type="paragraph" w:styleId="BalloonText">
    <w:name w:val="Balloon Text"/>
    <w:basedOn w:val="Normal"/>
    <w:link w:val="BalloonTextChar"/>
    <w:uiPriority w:val="99"/>
    <w:semiHidden/>
    <w:unhideWhenUsed/>
    <w:rsid w:val="0068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8F"/>
    <w:rPr>
      <w:rFonts w:ascii="Tahoma" w:hAnsi="Tahoma" w:cs="Tahoma"/>
      <w:sz w:val="16"/>
      <w:szCs w:val="16"/>
    </w:rPr>
  </w:style>
  <w:style w:type="character" w:styleId="CommentReference">
    <w:name w:val="annotation reference"/>
    <w:basedOn w:val="DefaultParagraphFont"/>
    <w:uiPriority w:val="99"/>
    <w:semiHidden/>
    <w:unhideWhenUsed/>
    <w:rsid w:val="00840046"/>
    <w:rPr>
      <w:sz w:val="16"/>
      <w:szCs w:val="16"/>
    </w:rPr>
  </w:style>
  <w:style w:type="paragraph" w:styleId="CommentText">
    <w:name w:val="annotation text"/>
    <w:basedOn w:val="Normal"/>
    <w:link w:val="CommentTextChar"/>
    <w:uiPriority w:val="99"/>
    <w:semiHidden/>
    <w:unhideWhenUsed/>
    <w:rsid w:val="00840046"/>
    <w:pPr>
      <w:spacing w:line="240" w:lineRule="auto"/>
    </w:pPr>
    <w:rPr>
      <w:sz w:val="20"/>
      <w:szCs w:val="20"/>
    </w:rPr>
  </w:style>
  <w:style w:type="character" w:customStyle="1" w:styleId="CommentTextChar">
    <w:name w:val="Comment Text Char"/>
    <w:basedOn w:val="DefaultParagraphFont"/>
    <w:link w:val="CommentText"/>
    <w:uiPriority w:val="99"/>
    <w:semiHidden/>
    <w:rsid w:val="00840046"/>
    <w:rPr>
      <w:sz w:val="20"/>
      <w:szCs w:val="20"/>
    </w:rPr>
  </w:style>
  <w:style w:type="paragraph" w:styleId="CommentSubject">
    <w:name w:val="annotation subject"/>
    <w:basedOn w:val="CommentText"/>
    <w:next w:val="CommentText"/>
    <w:link w:val="CommentSubjectChar"/>
    <w:uiPriority w:val="99"/>
    <w:semiHidden/>
    <w:unhideWhenUsed/>
    <w:rsid w:val="00840046"/>
    <w:rPr>
      <w:b/>
      <w:bCs/>
    </w:rPr>
  </w:style>
  <w:style w:type="character" w:customStyle="1" w:styleId="CommentSubjectChar">
    <w:name w:val="Comment Subject Char"/>
    <w:basedOn w:val="CommentTextChar"/>
    <w:link w:val="CommentSubject"/>
    <w:uiPriority w:val="99"/>
    <w:semiHidden/>
    <w:rsid w:val="00840046"/>
    <w:rPr>
      <w:b/>
      <w:bCs/>
      <w:sz w:val="20"/>
      <w:szCs w:val="20"/>
    </w:rPr>
  </w:style>
  <w:style w:type="character" w:styleId="Emphasis">
    <w:name w:val="Emphasis"/>
    <w:basedOn w:val="DefaultParagraphFont"/>
    <w:uiPriority w:val="20"/>
    <w:qFormat/>
    <w:rsid w:val="009C4AE6"/>
    <w:rPr>
      <w:i/>
      <w:iCs/>
    </w:rPr>
  </w:style>
  <w:style w:type="paragraph" w:customStyle="1" w:styleId="Default">
    <w:name w:val="Default"/>
    <w:rsid w:val="0016571E"/>
    <w:pPr>
      <w:autoSpaceDE w:val="0"/>
      <w:autoSpaceDN w:val="0"/>
      <w:adjustRightInd w:val="0"/>
      <w:spacing w:after="0" w:line="240" w:lineRule="auto"/>
    </w:pPr>
    <w:rPr>
      <w:rFonts w:ascii="Calibri" w:hAnsi="Calibri" w:cs="Calibri"/>
      <w:color w:val="000000"/>
      <w:sz w:val="24"/>
      <w:szCs w:val="24"/>
      <w:lang w:val="el-GR"/>
    </w:rPr>
  </w:style>
  <w:style w:type="paragraph" w:customStyle="1" w:styleId="2">
    <w:name w:val="Βασικό2"/>
    <w:rsid w:val="004375E7"/>
    <w:pPr>
      <w:spacing w:after="0" w:line="240" w:lineRule="auto"/>
      <w:jc w:val="both"/>
    </w:pPr>
    <w:rPr>
      <w:rFonts w:ascii="Times New Roman" w:eastAsia="Times New Roman" w:hAnsi="Times New Roman" w:cs="Times New Roman"/>
      <w:sz w:val="24"/>
      <w:szCs w:val="24"/>
      <w:lang w:val="en-GB" w:eastAsia="el-GR"/>
    </w:rPr>
  </w:style>
  <w:style w:type="character" w:customStyle="1" w:styleId="20">
    <w:name w:val="Ανεπίλυτη αναφορά2"/>
    <w:basedOn w:val="DefaultParagraphFont"/>
    <w:uiPriority w:val="99"/>
    <w:semiHidden/>
    <w:unhideWhenUsed/>
    <w:rsid w:val="00FC5612"/>
    <w:rPr>
      <w:color w:val="605E5C"/>
      <w:shd w:val="clear" w:color="auto" w:fill="E1DFDD"/>
    </w:rPr>
  </w:style>
  <w:style w:type="character" w:customStyle="1" w:styleId="ListParagraphChar">
    <w:name w:val="List Paragraph Char"/>
    <w:aliases w:val="Itemize Char,Numbered List Char,1st level - Bullet List Paragraph Char,Lettre d'introduction Char,Paragrafo elenco Char,Paragraph Char,Bullet EY Char,Bullet point 1 Char,DE_HEADING3 Char,Bullets Char,Medium Grid 1 - Accent 21 Char"/>
    <w:link w:val="ListParagraph"/>
    <w:uiPriority w:val="34"/>
    <w:qFormat/>
    <w:locked/>
    <w:rsid w:val="007E2AA8"/>
  </w:style>
  <w:style w:type="character" w:styleId="UnresolvedMention">
    <w:name w:val="Unresolved Mention"/>
    <w:basedOn w:val="DefaultParagraphFont"/>
    <w:uiPriority w:val="99"/>
    <w:semiHidden/>
    <w:unhideWhenUsed/>
    <w:rsid w:val="0090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384">
      <w:bodyDiv w:val="1"/>
      <w:marLeft w:val="0"/>
      <w:marRight w:val="0"/>
      <w:marTop w:val="0"/>
      <w:marBottom w:val="0"/>
      <w:divBdr>
        <w:top w:val="none" w:sz="0" w:space="0" w:color="auto"/>
        <w:left w:val="none" w:sz="0" w:space="0" w:color="auto"/>
        <w:bottom w:val="none" w:sz="0" w:space="0" w:color="auto"/>
        <w:right w:val="none" w:sz="0" w:space="0" w:color="auto"/>
      </w:divBdr>
    </w:div>
    <w:div w:id="509102155">
      <w:bodyDiv w:val="1"/>
      <w:marLeft w:val="0"/>
      <w:marRight w:val="0"/>
      <w:marTop w:val="0"/>
      <w:marBottom w:val="0"/>
      <w:divBdr>
        <w:top w:val="none" w:sz="0" w:space="0" w:color="auto"/>
        <w:left w:val="none" w:sz="0" w:space="0" w:color="auto"/>
        <w:bottom w:val="none" w:sz="0" w:space="0" w:color="auto"/>
        <w:right w:val="none" w:sz="0" w:space="0" w:color="auto"/>
      </w:divBdr>
    </w:div>
    <w:div w:id="706373292">
      <w:bodyDiv w:val="1"/>
      <w:marLeft w:val="0"/>
      <w:marRight w:val="0"/>
      <w:marTop w:val="0"/>
      <w:marBottom w:val="0"/>
      <w:divBdr>
        <w:top w:val="none" w:sz="0" w:space="0" w:color="auto"/>
        <w:left w:val="none" w:sz="0" w:space="0" w:color="auto"/>
        <w:bottom w:val="none" w:sz="0" w:space="0" w:color="auto"/>
        <w:right w:val="none" w:sz="0" w:space="0" w:color="auto"/>
      </w:divBdr>
    </w:div>
    <w:div w:id="709574138">
      <w:bodyDiv w:val="1"/>
      <w:marLeft w:val="0"/>
      <w:marRight w:val="0"/>
      <w:marTop w:val="0"/>
      <w:marBottom w:val="0"/>
      <w:divBdr>
        <w:top w:val="none" w:sz="0" w:space="0" w:color="auto"/>
        <w:left w:val="none" w:sz="0" w:space="0" w:color="auto"/>
        <w:bottom w:val="none" w:sz="0" w:space="0" w:color="auto"/>
        <w:right w:val="none" w:sz="0" w:space="0" w:color="auto"/>
      </w:divBdr>
    </w:div>
    <w:div w:id="1229808075">
      <w:bodyDiv w:val="1"/>
      <w:marLeft w:val="0"/>
      <w:marRight w:val="0"/>
      <w:marTop w:val="0"/>
      <w:marBottom w:val="0"/>
      <w:divBdr>
        <w:top w:val="none" w:sz="0" w:space="0" w:color="auto"/>
        <w:left w:val="none" w:sz="0" w:space="0" w:color="auto"/>
        <w:bottom w:val="none" w:sz="0" w:space="0" w:color="auto"/>
        <w:right w:val="none" w:sz="0" w:space="0" w:color="auto"/>
      </w:divBdr>
    </w:div>
    <w:div w:id="1461220007">
      <w:bodyDiv w:val="1"/>
      <w:marLeft w:val="0"/>
      <w:marRight w:val="0"/>
      <w:marTop w:val="0"/>
      <w:marBottom w:val="0"/>
      <w:divBdr>
        <w:top w:val="none" w:sz="0" w:space="0" w:color="auto"/>
        <w:left w:val="none" w:sz="0" w:space="0" w:color="auto"/>
        <w:bottom w:val="none" w:sz="0" w:space="0" w:color="auto"/>
        <w:right w:val="none" w:sz="0" w:space="0" w:color="auto"/>
      </w:divBdr>
      <w:divsChild>
        <w:div w:id="106004037">
          <w:marLeft w:val="-240"/>
          <w:marRight w:val="-240"/>
          <w:marTop w:val="0"/>
          <w:marBottom w:val="0"/>
          <w:divBdr>
            <w:top w:val="none" w:sz="0" w:space="0" w:color="auto"/>
            <w:left w:val="none" w:sz="0" w:space="0" w:color="auto"/>
            <w:bottom w:val="none" w:sz="0" w:space="0" w:color="auto"/>
            <w:right w:val="none" w:sz="0" w:space="0" w:color="auto"/>
          </w:divBdr>
          <w:divsChild>
            <w:div w:id="1691489075">
              <w:marLeft w:val="0"/>
              <w:marRight w:val="0"/>
              <w:marTop w:val="0"/>
              <w:marBottom w:val="0"/>
              <w:divBdr>
                <w:top w:val="none" w:sz="0" w:space="0" w:color="auto"/>
                <w:left w:val="none" w:sz="0" w:space="0" w:color="auto"/>
                <w:bottom w:val="none" w:sz="0" w:space="0" w:color="auto"/>
                <w:right w:val="none" w:sz="0" w:space="0" w:color="auto"/>
              </w:divBdr>
              <w:divsChild>
                <w:div w:id="18391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1999">
      <w:bodyDiv w:val="1"/>
      <w:marLeft w:val="0"/>
      <w:marRight w:val="0"/>
      <w:marTop w:val="0"/>
      <w:marBottom w:val="0"/>
      <w:divBdr>
        <w:top w:val="none" w:sz="0" w:space="0" w:color="auto"/>
        <w:left w:val="none" w:sz="0" w:space="0" w:color="auto"/>
        <w:bottom w:val="none" w:sz="0" w:space="0" w:color="auto"/>
        <w:right w:val="none" w:sz="0" w:space="0" w:color="auto"/>
      </w:divBdr>
    </w:div>
    <w:div w:id="18267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g-ppp.eu/5g-bluepr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g-ppp.eu/5gmed/,https://5g-ppp.eu/5g-car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gcroco.eu/" TargetMode="External"/><Relationship Id="rId5" Type="http://schemas.openxmlformats.org/officeDocument/2006/relationships/webSettings" Target="webSettings.xml"/><Relationship Id="rId10" Type="http://schemas.openxmlformats.org/officeDocument/2006/relationships/hyperlink" Target="https://www.5g-mobix.com/" TargetMode="External"/><Relationship Id="rId4" Type="http://schemas.openxmlformats.org/officeDocument/2006/relationships/settings" Target="settings.xml"/><Relationship Id="rId9" Type="http://schemas.openxmlformats.org/officeDocument/2006/relationships/hyperlink" Target="https://www.5g-routes.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infrastructure/tentec/tentec-portal/site/maps_upload/annexes/annex1/Annex%20I%20-%20VOL%2023.pdf" TargetMode="External"/><Relationship Id="rId1" Type="http://schemas.openxmlformats.org/officeDocument/2006/relationships/hyperlink" Target="https://ec.europa.eu/transport/infrastructure/tentec/tentec-portal/site/en/abouttent.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9D8A-A440-46FA-B718-67F2BC88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2228</Words>
  <Characters>12706</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ΚΑΓΚΛΗΣ</dc:creator>
  <cp:lastModifiedBy>Athanassios Staveris</cp:lastModifiedBy>
  <cp:revision>4</cp:revision>
  <dcterms:created xsi:type="dcterms:W3CDTF">2021-07-15T08:50:00Z</dcterms:created>
  <dcterms:modified xsi:type="dcterms:W3CDTF">2021-08-04T14:00:00Z</dcterms:modified>
</cp:coreProperties>
</file>